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3AE" w:rsidRPr="002E5357" w:rsidRDefault="009633AE" w:rsidP="009633AE">
      <w:pPr>
        <w:pStyle w:val="Body1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2E5357">
        <w:rPr>
          <w:rFonts w:ascii="Times New Roman" w:hAnsi="Times New Roman"/>
          <w:b/>
          <w:sz w:val="24"/>
          <w:szCs w:val="24"/>
          <w:lang w:val="sr-Latn-CS"/>
        </w:rPr>
        <w:t>KONCEPT RASKIDA UGOVORA ZBOG (MATERIJALNIH) NEDOSTATAKA ISPUNJENJA</w:t>
      </w:r>
    </w:p>
    <w:p w:rsidR="009633AE" w:rsidRPr="002E5357" w:rsidRDefault="009633AE" w:rsidP="009633AE">
      <w:pPr>
        <w:pStyle w:val="Body1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2E5357">
        <w:rPr>
          <w:rFonts w:ascii="Times New Roman" w:hAnsi="Times New Roman"/>
          <w:b/>
          <w:sz w:val="24"/>
          <w:szCs w:val="24"/>
          <w:lang w:val="sr-Latn-CS"/>
        </w:rPr>
        <w:t>THE CONCEPT OF TERMINATION OF CONTRACTS DUE TO (SUBSTANTIVE) DEFECTS OF PERFORMANCE</w:t>
      </w:r>
    </w:p>
    <w:p w:rsidR="009633AE" w:rsidRPr="002E5357" w:rsidRDefault="009633AE" w:rsidP="009633AE">
      <w:pPr>
        <w:pStyle w:val="Body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633AE" w:rsidRPr="002E5357" w:rsidRDefault="009633AE" w:rsidP="009633AE">
      <w:pPr>
        <w:pStyle w:val="Body1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2E5357">
        <w:rPr>
          <w:rFonts w:ascii="Times New Roman" w:hAnsi="Times New Roman"/>
          <w:b/>
          <w:sz w:val="24"/>
          <w:szCs w:val="24"/>
          <w:lang w:val="sr-Latn-CS"/>
        </w:rPr>
        <w:t>SAŽETAK</w:t>
      </w:r>
    </w:p>
    <w:p w:rsidR="009633AE" w:rsidRPr="002E5357" w:rsidRDefault="009633AE" w:rsidP="009633AE">
      <w:pPr>
        <w:pStyle w:val="Body1"/>
        <w:jc w:val="both"/>
        <w:rPr>
          <w:rFonts w:ascii="Times New Roman" w:hAnsi="Times New Roman"/>
          <w:sz w:val="24"/>
          <w:szCs w:val="24"/>
          <w:lang w:val="sr-Latn-CS"/>
        </w:rPr>
      </w:pPr>
      <w:r w:rsidRPr="002E5357">
        <w:rPr>
          <w:rFonts w:ascii="Times New Roman" w:hAnsi="Times New Roman"/>
          <w:sz w:val="24"/>
          <w:szCs w:val="24"/>
          <w:lang w:val="sr-Latn-CS"/>
        </w:rPr>
        <w:t>U radu razgledamo koncept raskida ugovora zbog materijalnih nedostataka ispunjenja ugovorne obaveze, kako je razrađen u saveznom Zakonu o obligacionim odnosima iz 1978 godine. Isti koncept, sa manjim ili nikakvim intervencijama, prihvataju i zakonodavstva zemalja naslednica Socijalističke Jugoslavije. Načelno, zakon uslovljava raskid ugovora zbog materijalnih nedostataka ispunjenja ostavljanjem naknadnog primerenog roka za pravilno ispunjenje ugovorne obaveze. Ugovor se, pak, raskida po samom zakonu i to protekom ostavljenog naknadnog primerenog roka. Konstatiramo da je obim primene jednostranog raskida ugovora, po zakonu, ili nejasan ili suviše ograničen. Dalje, dajemo načelan pregled koncepata raskida ugovora zbog neurednog ispunjenja u međunarodnim instrumentima ugovornog prava. Naš je zaključak da praksi i pravnoj sigurnosti više pogoduje uvođenje izričitog razlikovanja između bitnog i nebitnog neispunjenja ugovora. Iako jednostrani raskid ugovora smatramo pravilnijim, smatramo da je moguće zadržati i koncept raskida ugovora po samom zakonu, uz mogućnost da poverilac održi ugovor na snazi.</w:t>
      </w:r>
    </w:p>
    <w:p w:rsidR="009633AE" w:rsidRPr="002E5357" w:rsidRDefault="009633AE" w:rsidP="009633AE">
      <w:pPr>
        <w:pStyle w:val="Body1"/>
        <w:jc w:val="both"/>
        <w:rPr>
          <w:rFonts w:ascii="Times New Roman" w:hAnsi="Times New Roman"/>
          <w:sz w:val="24"/>
          <w:szCs w:val="24"/>
          <w:lang w:val="sr-Latn-CS"/>
        </w:rPr>
      </w:pPr>
      <w:r w:rsidRPr="002E5357">
        <w:rPr>
          <w:rFonts w:ascii="Times New Roman" w:hAnsi="Times New Roman"/>
          <w:b/>
          <w:sz w:val="24"/>
          <w:szCs w:val="24"/>
          <w:lang w:val="sr-Latn-CS"/>
        </w:rPr>
        <w:t>Ključne reči:</w:t>
      </w:r>
      <w:r w:rsidRPr="002E5357">
        <w:rPr>
          <w:rFonts w:ascii="Times New Roman" w:hAnsi="Times New Roman"/>
          <w:sz w:val="24"/>
          <w:szCs w:val="24"/>
          <w:lang w:val="sr-Latn-CS"/>
        </w:rPr>
        <w:t xml:space="preserve"> materijalni nedostaci, raskid, naknadni primereni rok, bitno neispunjenje</w:t>
      </w:r>
    </w:p>
    <w:p w:rsidR="00B57E22" w:rsidRDefault="00B57E22"/>
    <w:p w:rsidR="009633AE" w:rsidRDefault="009633AE"/>
    <w:p w:rsidR="009633AE" w:rsidRDefault="009633AE"/>
    <w:p w:rsidR="009633AE" w:rsidRDefault="009633AE"/>
    <w:p w:rsidR="009633AE" w:rsidRDefault="009633AE"/>
    <w:p w:rsidR="009633AE" w:rsidRDefault="009633AE"/>
    <w:p w:rsidR="009633AE" w:rsidRPr="002E5357" w:rsidRDefault="009633AE" w:rsidP="009633AE">
      <w:pPr>
        <w:pStyle w:val="Body1"/>
        <w:jc w:val="center"/>
        <w:rPr>
          <w:rFonts w:ascii="Times New Roman" w:hAnsi="Times New Roman"/>
          <w:b/>
          <w:i/>
          <w:sz w:val="24"/>
          <w:szCs w:val="24"/>
          <w:lang w:val="sr-Latn-CS"/>
        </w:rPr>
      </w:pPr>
      <w:r w:rsidRPr="002E5357">
        <w:rPr>
          <w:rFonts w:ascii="Times New Roman" w:hAnsi="Times New Roman"/>
          <w:b/>
          <w:i/>
          <w:sz w:val="24"/>
          <w:szCs w:val="24"/>
          <w:lang w:val="sr-Latn-CS"/>
        </w:rPr>
        <w:t>Literatura</w:t>
      </w:r>
    </w:p>
    <w:p w:rsidR="009633AE" w:rsidRPr="002E5357" w:rsidRDefault="009633AE" w:rsidP="009633AE">
      <w:pPr>
        <w:pStyle w:val="Body1"/>
        <w:jc w:val="both"/>
        <w:rPr>
          <w:rFonts w:ascii="Times New Roman" w:hAnsi="Times New Roman"/>
          <w:sz w:val="24"/>
          <w:szCs w:val="24"/>
          <w:lang w:val="sr-Latn-CS"/>
        </w:rPr>
      </w:pPr>
      <w:r w:rsidRPr="002E5357">
        <w:rPr>
          <w:rFonts w:ascii="Times New Roman" w:hAnsi="Times New Roman"/>
          <w:sz w:val="24"/>
          <w:szCs w:val="24"/>
          <w:lang w:val="sr-Cyrl-CS"/>
        </w:rPr>
        <w:t>О.</w:t>
      </w:r>
      <w:r w:rsidRPr="002E5357">
        <w:rPr>
          <w:rFonts w:ascii="Times New Roman" w:hAnsi="Times New Roman"/>
          <w:sz w:val="24"/>
          <w:szCs w:val="24"/>
          <w:lang w:val="sr-Latn-CS"/>
        </w:rPr>
        <w:t xml:space="preserve"> Антић,</w:t>
      </w:r>
      <w:r w:rsidRPr="002E535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E5357">
        <w:rPr>
          <w:rFonts w:ascii="Times New Roman" w:hAnsi="Times New Roman"/>
          <w:i/>
          <w:sz w:val="24"/>
          <w:szCs w:val="24"/>
          <w:lang w:val="sr-Latn-CS"/>
        </w:rPr>
        <w:t>Облигационо право</w:t>
      </w:r>
      <w:r w:rsidRPr="002E5357">
        <w:rPr>
          <w:rFonts w:ascii="Times New Roman" w:hAnsi="Times New Roman"/>
          <w:sz w:val="24"/>
          <w:szCs w:val="24"/>
          <w:lang w:val="sr-Latn-CS"/>
        </w:rPr>
        <w:t>, Правни факултет Универзитета у Београду и Службени гласник</w:t>
      </w:r>
      <w:r w:rsidRPr="002E5357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2E5357">
        <w:rPr>
          <w:rFonts w:ascii="Times New Roman" w:hAnsi="Times New Roman"/>
          <w:sz w:val="24"/>
          <w:szCs w:val="24"/>
          <w:lang w:val="sr-Latn-CS"/>
        </w:rPr>
        <w:t>Београд 2007.</w:t>
      </w:r>
    </w:p>
    <w:p w:rsidR="009633AE" w:rsidRPr="002E5357" w:rsidRDefault="009633AE" w:rsidP="009633AE">
      <w:pPr>
        <w:pStyle w:val="Body1"/>
        <w:jc w:val="both"/>
        <w:rPr>
          <w:rFonts w:ascii="Times New Roman" w:hAnsi="Times New Roman"/>
          <w:sz w:val="24"/>
          <w:szCs w:val="24"/>
          <w:lang w:val="sr-Latn-CS"/>
        </w:rPr>
      </w:pPr>
      <w:r w:rsidRPr="002E5357">
        <w:rPr>
          <w:rFonts w:ascii="Times New Roman" w:hAnsi="Times New Roman"/>
          <w:sz w:val="24"/>
          <w:szCs w:val="24"/>
          <w:lang w:val="sr-Latn-CS"/>
        </w:rPr>
        <w:t xml:space="preserve">Z. Antonijević, </w:t>
      </w:r>
      <w:r w:rsidRPr="002E5357">
        <w:rPr>
          <w:rFonts w:ascii="Times New Roman" w:hAnsi="Times New Roman"/>
          <w:i/>
          <w:sz w:val="24"/>
          <w:szCs w:val="24"/>
          <w:lang w:val="sr-Latn-CS"/>
        </w:rPr>
        <w:t>Privredno pravo: organizacije udruženog rada i poslovi prometa</w:t>
      </w:r>
      <w:r w:rsidRPr="002E5357">
        <w:rPr>
          <w:rFonts w:ascii="Times New Roman" w:hAnsi="Times New Roman"/>
          <w:sz w:val="24"/>
          <w:szCs w:val="24"/>
          <w:lang w:val="sr-Latn-CS"/>
        </w:rPr>
        <w:t>, 12. izd., Savremena administracija, Beograd 1989.</w:t>
      </w:r>
    </w:p>
    <w:p w:rsidR="009633AE" w:rsidRPr="002E5357" w:rsidRDefault="009633AE" w:rsidP="009633AE">
      <w:pPr>
        <w:pStyle w:val="Body1"/>
        <w:jc w:val="both"/>
        <w:rPr>
          <w:rFonts w:ascii="Times New Roman" w:hAnsi="Times New Roman"/>
          <w:sz w:val="24"/>
          <w:szCs w:val="24"/>
          <w:lang w:val="sr-Latn-CS"/>
        </w:rPr>
      </w:pPr>
      <w:r w:rsidRPr="002E5357">
        <w:rPr>
          <w:rFonts w:ascii="Times New Roman" w:hAnsi="Times New Roman"/>
          <w:sz w:val="24"/>
          <w:szCs w:val="24"/>
          <w:lang w:val="sr-Latn-CS"/>
        </w:rPr>
        <w:t xml:space="preserve">H. Beale, „The Common Frame of Reference in General: a Resumé of the Current Status“, u R. Schulze (ur.), </w:t>
      </w:r>
      <w:r w:rsidRPr="002E5357">
        <w:rPr>
          <w:rFonts w:ascii="Times New Roman" w:hAnsi="Times New Roman"/>
          <w:i/>
          <w:sz w:val="24"/>
          <w:szCs w:val="24"/>
          <w:lang w:val="sr-Latn-CS"/>
        </w:rPr>
        <w:t>New Features in Contract Law</w:t>
      </w:r>
      <w:r w:rsidRPr="002E5357">
        <w:rPr>
          <w:rFonts w:ascii="Times New Roman" w:hAnsi="Times New Roman"/>
          <w:sz w:val="24"/>
          <w:szCs w:val="24"/>
          <w:lang w:val="sr-Latn-CS"/>
        </w:rPr>
        <w:t>, Sellier, Munich 2007, 343-361.</w:t>
      </w:r>
    </w:p>
    <w:p w:rsidR="009633AE" w:rsidRPr="002E5357" w:rsidRDefault="009633AE" w:rsidP="009633AE">
      <w:pPr>
        <w:pStyle w:val="Body1"/>
        <w:jc w:val="both"/>
        <w:rPr>
          <w:rFonts w:ascii="Times New Roman" w:hAnsi="Times New Roman"/>
          <w:sz w:val="24"/>
          <w:szCs w:val="24"/>
          <w:lang w:val="sr-Latn-CS"/>
        </w:rPr>
      </w:pPr>
      <w:r w:rsidRPr="002E5357">
        <w:rPr>
          <w:rFonts w:ascii="Times New Roman" w:hAnsi="Times New Roman"/>
          <w:sz w:val="24"/>
          <w:szCs w:val="24"/>
          <w:lang w:val="sr-Latn-CS"/>
        </w:rPr>
        <w:t>B.</w:t>
      </w:r>
      <w:r w:rsidRPr="002E535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E5357">
        <w:rPr>
          <w:rFonts w:ascii="Times New Roman" w:hAnsi="Times New Roman"/>
          <w:sz w:val="24"/>
          <w:szCs w:val="24"/>
          <w:lang w:val="sr-Latn-CS"/>
        </w:rPr>
        <w:t>Blagojević</w:t>
      </w:r>
      <w:r w:rsidRPr="002E5357">
        <w:rPr>
          <w:rFonts w:ascii="Times New Roman" w:hAnsi="Times New Roman"/>
          <w:sz w:val="24"/>
          <w:szCs w:val="24"/>
          <w:lang w:val="sr-Cyrl-CS"/>
        </w:rPr>
        <w:t>/</w:t>
      </w:r>
      <w:r w:rsidRPr="002E5357">
        <w:rPr>
          <w:rFonts w:ascii="Times New Roman" w:hAnsi="Times New Roman"/>
          <w:sz w:val="24"/>
          <w:szCs w:val="24"/>
          <w:lang w:val="sr-Latn-CS"/>
        </w:rPr>
        <w:t>V.</w:t>
      </w:r>
      <w:r w:rsidRPr="002E535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E5357">
        <w:rPr>
          <w:rFonts w:ascii="Times New Roman" w:hAnsi="Times New Roman"/>
          <w:sz w:val="24"/>
          <w:szCs w:val="24"/>
          <w:lang w:val="sr-Latn-CS"/>
        </w:rPr>
        <w:t>Krulj</w:t>
      </w:r>
      <w:r w:rsidRPr="002E5357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Pr="002E5357">
        <w:rPr>
          <w:rFonts w:ascii="Times New Roman" w:hAnsi="Times New Roman"/>
          <w:sz w:val="24"/>
          <w:szCs w:val="24"/>
          <w:lang w:val="sr-Latn-CS"/>
        </w:rPr>
        <w:t>red.</w:t>
      </w:r>
      <w:r w:rsidRPr="002E5357">
        <w:rPr>
          <w:rFonts w:ascii="Times New Roman" w:hAnsi="Times New Roman"/>
          <w:sz w:val="24"/>
          <w:szCs w:val="24"/>
          <w:lang w:val="sr-Cyrl-CS"/>
        </w:rPr>
        <w:t>)</w:t>
      </w:r>
      <w:r w:rsidRPr="002E535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2E5357">
        <w:rPr>
          <w:rFonts w:ascii="Times New Roman" w:hAnsi="Times New Roman"/>
          <w:i/>
          <w:sz w:val="24"/>
          <w:szCs w:val="24"/>
          <w:lang w:val="sr-Latn-CS"/>
        </w:rPr>
        <w:t>Komentar Zakona o obligacionim odnosima: II</w:t>
      </w:r>
      <w:r w:rsidRPr="002E5357">
        <w:rPr>
          <w:rFonts w:ascii="Times New Roman" w:hAnsi="Times New Roman"/>
          <w:sz w:val="24"/>
          <w:szCs w:val="24"/>
          <w:lang w:val="sr-Latn-CS"/>
        </w:rPr>
        <w:t>, 2</w:t>
      </w:r>
      <w:r w:rsidRPr="002E5357">
        <w:rPr>
          <w:rFonts w:ascii="Times New Roman" w:hAnsi="Times New Roman"/>
          <w:sz w:val="24"/>
          <w:szCs w:val="24"/>
          <w:lang w:val="sr-Cyrl-CS"/>
        </w:rPr>
        <w:t>.</w:t>
      </w:r>
      <w:r w:rsidRPr="002E5357">
        <w:rPr>
          <w:rFonts w:ascii="Times New Roman" w:hAnsi="Times New Roman"/>
          <w:sz w:val="24"/>
          <w:szCs w:val="24"/>
          <w:lang w:val="sr-Latn-CS"/>
        </w:rPr>
        <w:t xml:space="preserve"> izd.,</w:t>
      </w:r>
      <w:r w:rsidRPr="002E535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E5357">
        <w:rPr>
          <w:rFonts w:ascii="Times New Roman" w:hAnsi="Times New Roman"/>
          <w:sz w:val="24"/>
          <w:szCs w:val="24"/>
          <w:lang w:val="sr-Latn-CS"/>
        </w:rPr>
        <w:t>Savremena administracija</w:t>
      </w:r>
      <w:r w:rsidRPr="002E5357">
        <w:rPr>
          <w:rFonts w:ascii="Times New Roman" w:hAnsi="Times New Roman"/>
          <w:sz w:val="24"/>
          <w:szCs w:val="24"/>
          <w:lang w:val="sr-Cyrl-CS"/>
        </w:rPr>
        <w:t>,</w:t>
      </w:r>
      <w:r w:rsidRPr="002E5357">
        <w:rPr>
          <w:rFonts w:ascii="Times New Roman" w:hAnsi="Times New Roman"/>
          <w:sz w:val="24"/>
          <w:szCs w:val="24"/>
          <w:lang w:val="sr-Latn-CS"/>
        </w:rPr>
        <w:t xml:space="preserve"> Beograd</w:t>
      </w:r>
      <w:r w:rsidRPr="002E535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E5357">
        <w:rPr>
          <w:rFonts w:ascii="Times New Roman" w:hAnsi="Times New Roman"/>
          <w:sz w:val="24"/>
          <w:szCs w:val="24"/>
          <w:lang w:val="sr-Latn-CS"/>
        </w:rPr>
        <w:t>1983.</w:t>
      </w:r>
    </w:p>
    <w:p w:rsidR="009633AE" w:rsidRPr="002E5357" w:rsidRDefault="009633AE" w:rsidP="009633AE">
      <w:pPr>
        <w:pStyle w:val="Body1"/>
        <w:jc w:val="both"/>
        <w:rPr>
          <w:rFonts w:ascii="Times New Roman" w:hAnsi="Times New Roman"/>
          <w:sz w:val="24"/>
          <w:szCs w:val="24"/>
          <w:lang w:val="sr-Latn-CS"/>
        </w:rPr>
      </w:pPr>
      <w:r w:rsidRPr="002E5357">
        <w:rPr>
          <w:rFonts w:ascii="Times New Roman" w:hAnsi="Times New Roman"/>
          <w:sz w:val="24"/>
          <w:szCs w:val="24"/>
          <w:lang w:val="sr-Latn-CS"/>
        </w:rPr>
        <w:lastRenderedPageBreak/>
        <w:t>I.</w:t>
      </w:r>
      <w:r w:rsidRPr="002E535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E5357">
        <w:rPr>
          <w:rFonts w:ascii="Times New Roman" w:hAnsi="Times New Roman"/>
          <w:sz w:val="24"/>
          <w:szCs w:val="24"/>
          <w:lang w:val="sr-Latn-CS"/>
        </w:rPr>
        <w:t>Bukljaš</w:t>
      </w:r>
      <w:r w:rsidRPr="002E5357">
        <w:rPr>
          <w:rFonts w:ascii="Times New Roman" w:hAnsi="Times New Roman"/>
          <w:sz w:val="24"/>
          <w:szCs w:val="24"/>
          <w:lang w:val="sr-Cyrl-CS"/>
        </w:rPr>
        <w:t>/</w:t>
      </w:r>
      <w:r w:rsidRPr="002E5357">
        <w:rPr>
          <w:rFonts w:ascii="Times New Roman" w:hAnsi="Times New Roman"/>
          <w:sz w:val="24"/>
          <w:szCs w:val="24"/>
          <w:lang w:val="sr-Latn-CS"/>
        </w:rPr>
        <w:t xml:space="preserve">B. Vizner, </w:t>
      </w:r>
      <w:r w:rsidRPr="002E5357">
        <w:rPr>
          <w:rFonts w:ascii="Times New Roman" w:hAnsi="Times New Roman"/>
          <w:i/>
          <w:sz w:val="24"/>
          <w:szCs w:val="24"/>
          <w:lang w:val="sr-Latn-CS"/>
        </w:rPr>
        <w:t>Komentar Zakona o obveznim (obligacionim) odnosima: 3. knjiga</w:t>
      </w:r>
      <w:r w:rsidRPr="002E5357">
        <w:rPr>
          <w:rFonts w:ascii="Times New Roman" w:hAnsi="Times New Roman"/>
          <w:sz w:val="24"/>
          <w:szCs w:val="24"/>
          <w:lang w:val="sr-Latn-CS"/>
        </w:rPr>
        <w:t>, izd. au., Zagreb 1979.</w:t>
      </w:r>
    </w:p>
    <w:p w:rsidR="009633AE" w:rsidRPr="002E5357" w:rsidRDefault="009633AE" w:rsidP="009633AE">
      <w:pPr>
        <w:pStyle w:val="Body1"/>
        <w:jc w:val="both"/>
        <w:rPr>
          <w:rFonts w:ascii="Times New Roman" w:hAnsi="Times New Roman"/>
          <w:sz w:val="24"/>
          <w:szCs w:val="24"/>
          <w:lang w:val="sr-Latn-CS"/>
        </w:rPr>
      </w:pPr>
      <w:r w:rsidRPr="002E5357">
        <w:rPr>
          <w:rFonts w:ascii="Times New Roman" w:hAnsi="Times New Roman"/>
          <w:sz w:val="24"/>
          <w:szCs w:val="24"/>
          <w:lang w:val="sr-Latn-CS"/>
        </w:rPr>
        <w:t xml:space="preserve">H. Collins, </w:t>
      </w:r>
      <w:r w:rsidRPr="002E5357">
        <w:rPr>
          <w:rFonts w:ascii="Times New Roman" w:hAnsi="Times New Roman"/>
          <w:i/>
          <w:sz w:val="24"/>
          <w:szCs w:val="24"/>
          <w:lang w:val="sr-Latn-CS"/>
        </w:rPr>
        <w:t>The European Civil Code: The Way Forward</w:t>
      </w:r>
      <w:r w:rsidRPr="002E5357">
        <w:rPr>
          <w:rFonts w:ascii="Times New Roman" w:hAnsi="Times New Roman"/>
          <w:sz w:val="24"/>
          <w:szCs w:val="24"/>
          <w:lang w:val="sr-Latn-CS"/>
        </w:rPr>
        <w:t>, Cambridge University Press, Cambridge 2008.</w:t>
      </w:r>
    </w:p>
    <w:p w:rsidR="009633AE" w:rsidRPr="002E5357" w:rsidRDefault="009633AE" w:rsidP="009633AE">
      <w:pPr>
        <w:pStyle w:val="Body1"/>
        <w:jc w:val="both"/>
        <w:rPr>
          <w:rFonts w:ascii="Times New Roman" w:hAnsi="Times New Roman"/>
          <w:sz w:val="24"/>
          <w:szCs w:val="24"/>
          <w:lang w:val="sr-Latn-CS"/>
        </w:rPr>
      </w:pPr>
      <w:r w:rsidRPr="002E5357">
        <w:rPr>
          <w:rFonts w:ascii="Times New Roman" w:hAnsi="Times New Roman"/>
          <w:sz w:val="24"/>
          <w:szCs w:val="24"/>
          <w:lang w:val="sr-Latn-CS"/>
        </w:rPr>
        <w:t xml:space="preserve">М. Драшкић, „Одговорност за материјалне недостатке продате ствари према Закону о облигационим односима“, </w:t>
      </w:r>
      <w:r w:rsidRPr="002E5357">
        <w:rPr>
          <w:rFonts w:ascii="Times New Roman" w:hAnsi="Times New Roman"/>
          <w:i/>
          <w:sz w:val="24"/>
          <w:szCs w:val="24"/>
          <w:lang w:val="sr-Latn-CS"/>
        </w:rPr>
        <w:t>Анали Правног факултета у Београду</w:t>
      </w:r>
      <w:r w:rsidRPr="002E5357">
        <w:rPr>
          <w:rFonts w:ascii="Times New Roman" w:hAnsi="Times New Roman"/>
          <w:sz w:val="24"/>
          <w:szCs w:val="24"/>
          <w:lang w:val="sr-Latn-CS"/>
        </w:rPr>
        <w:t>, 3-5/1978, 579-596.</w:t>
      </w:r>
    </w:p>
    <w:p w:rsidR="009633AE" w:rsidRPr="002E5357" w:rsidRDefault="009633AE" w:rsidP="009633AE">
      <w:pPr>
        <w:pStyle w:val="Body1"/>
        <w:jc w:val="both"/>
        <w:rPr>
          <w:rFonts w:ascii="Times New Roman" w:hAnsi="Times New Roman"/>
          <w:sz w:val="24"/>
          <w:szCs w:val="24"/>
          <w:lang w:val="sr-Latn-CS"/>
        </w:rPr>
      </w:pPr>
      <w:r w:rsidRPr="002E5357">
        <w:rPr>
          <w:rFonts w:ascii="Times New Roman" w:hAnsi="Times New Roman"/>
          <w:sz w:val="24"/>
          <w:szCs w:val="24"/>
          <w:lang w:val="sr-Latn-CS"/>
        </w:rPr>
        <w:t xml:space="preserve">Ž. Đorđević/V. Stanković, </w:t>
      </w:r>
      <w:r w:rsidRPr="002E5357">
        <w:rPr>
          <w:rFonts w:ascii="Times New Roman" w:hAnsi="Times New Roman"/>
          <w:i/>
          <w:sz w:val="24"/>
          <w:szCs w:val="24"/>
          <w:lang w:val="sr-Latn-CS"/>
        </w:rPr>
        <w:t>Obligaciono pravo: opšti deo</w:t>
      </w:r>
      <w:r w:rsidRPr="002E5357">
        <w:rPr>
          <w:rFonts w:ascii="Times New Roman" w:hAnsi="Times New Roman"/>
          <w:sz w:val="24"/>
          <w:szCs w:val="24"/>
          <w:lang w:val="sr-Latn-CS"/>
        </w:rPr>
        <w:t>, 5. izd., Naučna knjiga, Beograd 1987.</w:t>
      </w:r>
    </w:p>
    <w:p w:rsidR="009633AE" w:rsidRPr="002E5357" w:rsidRDefault="009633AE" w:rsidP="009633AE">
      <w:pPr>
        <w:pStyle w:val="Body1"/>
        <w:jc w:val="both"/>
        <w:rPr>
          <w:rFonts w:ascii="Times New Roman" w:hAnsi="Times New Roman"/>
          <w:sz w:val="24"/>
          <w:szCs w:val="24"/>
          <w:lang w:val="sr-Latn-CS"/>
        </w:rPr>
      </w:pPr>
      <w:r w:rsidRPr="002E5357">
        <w:rPr>
          <w:rFonts w:ascii="Times New Roman" w:hAnsi="Times New Roman"/>
          <w:sz w:val="24"/>
          <w:szCs w:val="24"/>
          <w:lang w:val="sr-Latn-CS"/>
        </w:rPr>
        <w:t xml:space="preserve">Н. Гавриловиќ, „Раскинување на договорите поради неисполнување“, </w:t>
      </w:r>
      <w:r w:rsidRPr="002E5357">
        <w:rPr>
          <w:rFonts w:ascii="Times New Roman" w:hAnsi="Times New Roman"/>
          <w:i/>
          <w:sz w:val="24"/>
          <w:szCs w:val="24"/>
          <w:lang w:val="sr-Latn-CS"/>
        </w:rPr>
        <w:t>Зборник на Правниот факултет „Јустинијан Први” во Скопје: во чест на Владимир Митков</w:t>
      </w:r>
      <w:r w:rsidRPr="002E5357">
        <w:rPr>
          <w:rFonts w:ascii="Times New Roman" w:hAnsi="Times New Roman"/>
          <w:sz w:val="24"/>
          <w:szCs w:val="24"/>
          <w:lang w:val="sr-Latn-CS"/>
        </w:rPr>
        <w:t>, 2010, 650-673.</w:t>
      </w:r>
    </w:p>
    <w:p w:rsidR="009633AE" w:rsidRPr="002E5357" w:rsidRDefault="009633AE" w:rsidP="009633AE">
      <w:pPr>
        <w:pStyle w:val="Body1"/>
        <w:jc w:val="both"/>
        <w:rPr>
          <w:rFonts w:ascii="Times New Roman" w:hAnsi="Times New Roman"/>
          <w:sz w:val="24"/>
          <w:szCs w:val="24"/>
          <w:lang w:val="sr-Latn-CS"/>
        </w:rPr>
      </w:pPr>
      <w:r w:rsidRPr="002E5357">
        <w:rPr>
          <w:rFonts w:ascii="Times New Roman" w:hAnsi="Times New Roman"/>
          <w:sz w:val="24"/>
          <w:szCs w:val="24"/>
          <w:lang w:val="sr-Latn-CS"/>
        </w:rPr>
        <w:t xml:space="preserve">A. Goldštajn, </w:t>
      </w:r>
      <w:r w:rsidRPr="002E5357">
        <w:rPr>
          <w:rFonts w:ascii="Times New Roman" w:hAnsi="Times New Roman"/>
          <w:i/>
          <w:sz w:val="24"/>
          <w:szCs w:val="24"/>
          <w:lang w:val="sr-Latn-CS"/>
        </w:rPr>
        <w:t>Privredno ugovorno pravo</w:t>
      </w:r>
      <w:r w:rsidRPr="002E5357">
        <w:rPr>
          <w:rFonts w:ascii="Times New Roman" w:hAnsi="Times New Roman"/>
          <w:sz w:val="24"/>
          <w:szCs w:val="24"/>
          <w:lang w:val="sr-Latn-CS"/>
        </w:rPr>
        <w:t>, 3. izd., Informator, Zagreb 1980.</w:t>
      </w:r>
    </w:p>
    <w:p w:rsidR="009633AE" w:rsidRPr="002E5357" w:rsidRDefault="009633AE" w:rsidP="009633AE">
      <w:pPr>
        <w:pStyle w:val="Body1"/>
        <w:jc w:val="both"/>
        <w:rPr>
          <w:rFonts w:ascii="Times New Roman" w:hAnsi="Times New Roman"/>
          <w:sz w:val="24"/>
          <w:szCs w:val="24"/>
          <w:lang w:val="sr-Latn-CS"/>
        </w:rPr>
      </w:pPr>
      <w:r w:rsidRPr="002E5357">
        <w:rPr>
          <w:rFonts w:ascii="Times New Roman" w:hAnsi="Times New Roman"/>
          <w:sz w:val="24"/>
          <w:szCs w:val="24"/>
          <w:lang w:val="sr-Latn-CS"/>
        </w:rPr>
        <w:t xml:space="preserve">M.W. Hesselink, „The Common Frame of Reference as a Source of European Private Law“, </w:t>
      </w:r>
      <w:r w:rsidRPr="002E5357">
        <w:rPr>
          <w:rFonts w:ascii="Times New Roman" w:hAnsi="Times New Roman"/>
          <w:i/>
          <w:sz w:val="24"/>
          <w:szCs w:val="24"/>
          <w:lang w:val="sr-Latn-CS"/>
        </w:rPr>
        <w:t>Tulane Law Review</w:t>
      </w:r>
      <w:r w:rsidRPr="002E5357">
        <w:rPr>
          <w:rFonts w:ascii="Times New Roman" w:hAnsi="Times New Roman"/>
          <w:sz w:val="24"/>
          <w:szCs w:val="24"/>
          <w:lang w:val="sr-Latn-CS"/>
        </w:rPr>
        <w:t>, 83(4), 2009, 919-972.</w:t>
      </w:r>
    </w:p>
    <w:p w:rsidR="009633AE" w:rsidRDefault="009633AE">
      <w:bookmarkStart w:id="0" w:name="_GoBack"/>
      <w:bookmarkEnd w:id="0"/>
    </w:p>
    <w:sectPr w:rsidR="00963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AE"/>
    <w:rsid w:val="009633AE"/>
    <w:rsid w:val="00B5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ECB89-FC5D-4438-A833-9A0B087D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633AE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Tusevska</dc:creator>
  <cp:keywords/>
  <dc:description/>
  <cp:lastModifiedBy>Borka Tusevska</cp:lastModifiedBy>
  <cp:revision>1</cp:revision>
  <dcterms:created xsi:type="dcterms:W3CDTF">2014-02-10T12:15:00Z</dcterms:created>
  <dcterms:modified xsi:type="dcterms:W3CDTF">2014-02-10T12:15:00Z</dcterms:modified>
</cp:coreProperties>
</file>