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C3" w:rsidRPr="00D71985" w:rsidRDefault="00293CC3" w:rsidP="00293CC3">
      <w:pPr>
        <w:spacing w:line="360" w:lineRule="auto"/>
        <w:jc w:val="right"/>
        <w:rPr>
          <w:rFonts w:ascii="Times New Roman" w:hAnsi="Times New Roman"/>
          <w:b/>
          <w:sz w:val="24"/>
          <w:szCs w:val="24"/>
          <w:lang w:val="mk-MK"/>
        </w:rPr>
      </w:pPr>
      <w:r w:rsidRPr="00D71985">
        <w:rPr>
          <w:rFonts w:ascii="Times New Roman" w:hAnsi="Times New Roman"/>
          <w:b/>
          <w:sz w:val="24"/>
          <w:szCs w:val="24"/>
          <w:lang w:val="mk-MK"/>
        </w:rPr>
        <w:t>д-р Борка Тушевска</w:t>
      </w:r>
      <w:r w:rsidRPr="00D71985">
        <w:rPr>
          <w:rStyle w:val="FootnoteReference"/>
          <w:rFonts w:ascii="Times New Roman" w:hAnsi="Times New Roman"/>
          <w:b/>
          <w:sz w:val="24"/>
          <w:szCs w:val="24"/>
          <w:lang w:val="mk-MK"/>
        </w:rPr>
        <w:footnoteReference w:id="1"/>
      </w:r>
    </w:p>
    <w:p w:rsidR="00293CC3" w:rsidRPr="00D71985" w:rsidRDefault="00293CC3" w:rsidP="00293CC3">
      <w:pPr>
        <w:spacing w:line="360" w:lineRule="auto"/>
        <w:jc w:val="center"/>
        <w:rPr>
          <w:rFonts w:ascii="Times New Roman" w:hAnsi="Times New Roman"/>
          <w:b/>
          <w:sz w:val="24"/>
          <w:szCs w:val="24"/>
          <w:lang w:val="mk-MK"/>
        </w:rPr>
      </w:pPr>
      <w:r w:rsidRPr="00D71985">
        <w:rPr>
          <w:rFonts w:ascii="Times New Roman" w:hAnsi="Times New Roman"/>
          <w:b/>
          <w:sz w:val="24"/>
          <w:szCs w:val="24"/>
          <w:lang w:val="mk-MK"/>
        </w:rPr>
        <w:t xml:space="preserve">ПРИМЕНА НА МЕНИЧНИТЕ ПРАВИЛА ВРЗ ТОВАРНИТЕ ЛИСТОВИ </w:t>
      </w:r>
    </w:p>
    <w:p w:rsidR="00293CC3" w:rsidRPr="00D71985" w:rsidRDefault="00293CC3" w:rsidP="00293CC3">
      <w:pPr>
        <w:spacing w:line="360" w:lineRule="auto"/>
        <w:rPr>
          <w:rFonts w:ascii="Times New Roman" w:hAnsi="Times New Roman"/>
          <w:b/>
          <w:i/>
          <w:sz w:val="24"/>
          <w:szCs w:val="24"/>
          <w:lang w:val="mk-MK"/>
        </w:rPr>
      </w:pPr>
      <w:r w:rsidRPr="00D71985">
        <w:rPr>
          <w:rFonts w:ascii="Times New Roman" w:hAnsi="Times New Roman"/>
          <w:b/>
          <w:i/>
          <w:sz w:val="24"/>
          <w:szCs w:val="24"/>
          <w:lang w:val="mk-MK"/>
        </w:rPr>
        <w:t>Вовед</w:t>
      </w:r>
    </w:p>
    <w:p w:rsidR="00293CC3" w:rsidRPr="00D71985" w:rsidRDefault="00293CC3" w:rsidP="00293CC3">
      <w:pPr>
        <w:spacing w:after="0" w:line="360" w:lineRule="auto"/>
        <w:ind w:firstLine="720"/>
        <w:jc w:val="both"/>
        <w:rPr>
          <w:rFonts w:ascii="Times New Roman" w:hAnsi="Times New Roman"/>
          <w:b/>
          <w:i/>
          <w:sz w:val="24"/>
          <w:szCs w:val="24"/>
          <w:lang w:val="mk-MK"/>
        </w:rPr>
      </w:pPr>
      <w:r w:rsidRPr="00D71985">
        <w:rPr>
          <w:rFonts w:ascii="Times New Roman" w:hAnsi="Times New Roman"/>
          <w:sz w:val="24"/>
          <w:szCs w:val="24"/>
          <w:lang w:val="mk-MK"/>
        </w:rPr>
        <w:t>Предмет на анализа и елаборација во овој труд е прашањето за примена на меничните правила врз товарните листови издадени во домашниот, особено во меѓународниот транспорт. Товарните листови претставуваат исклучително битен инструмент во транспортот, и воопшто во трговијата. Брзиот и масовен промет на стоки,</w:t>
      </w:r>
      <w:r w:rsidRPr="00D71985">
        <w:rPr>
          <w:rFonts w:ascii="Times New Roman" w:hAnsi="Times New Roman"/>
          <w:sz w:val="24"/>
          <w:szCs w:val="24"/>
        </w:rPr>
        <w:t xml:space="preserve"> </w:t>
      </w:r>
      <w:r w:rsidRPr="00D71985">
        <w:rPr>
          <w:rFonts w:ascii="Times New Roman" w:hAnsi="Times New Roman"/>
          <w:sz w:val="24"/>
          <w:szCs w:val="24"/>
          <w:lang w:val="mk-MK"/>
        </w:rPr>
        <w:t>како и учеството на бројните субјекти во низата транспортни маршрути, им дадоа особено значење на товарните листови во глобалниот транспорт. Експанзијата на товарните листови и нивната повеќе страна функција во прометот, наметна</w:t>
      </w:r>
      <w:r>
        <w:rPr>
          <w:rFonts w:ascii="Times New Roman" w:hAnsi="Times New Roman"/>
          <w:sz w:val="24"/>
          <w:szCs w:val="24"/>
          <w:lang w:val="mk-MK"/>
        </w:rPr>
        <w:t>а</w:t>
      </w:r>
      <w:r w:rsidRPr="00D71985">
        <w:rPr>
          <w:rFonts w:ascii="Times New Roman" w:hAnsi="Times New Roman"/>
          <w:sz w:val="24"/>
          <w:szCs w:val="24"/>
          <w:lang w:val="mk-MK"/>
        </w:rPr>
        <w:t xml:space="preserve"> бројни и разновидни прашања за анализа. Од нив особено комплексно и значајно е прашањето за</w:t>
      </w:r>
      <w:r w:rsidRPr="00D71985">
        <w:rPr>
          <w:rFonts w:ascii="Times New Roman" w:hAnsi="Times New Roman"/>
          <w:i/>
          <w:sz w:val="24"/>
          <w:szCs w:val="24"/>
          <w:lang w:val="mk-MK"/>
        </w:rPr>
        <w:t xml:space="preserve"> </w:t>
      </w:r>
      <w:r w:rsidRPr="00D71985">
        <w:rPr>
          <w:rFonts w:ascii="Times New Roman" w:hAnsi="Times New Roman"/>
          <w:b/>
          <w:i/>
          <w:sz w:val="24"/>
          <w:szCs w:val="24"/>
          <w:lang w:val="mk-MK"/>
        </w:rPr>
        <w:t xml:space="preserve">преносот на правата инкорпорирани во товарните листови.   </w:t>
      </w:r>
    </w:p>
    <w:p w:rsidR="00293CC3" w:rsidRPr="00D71985" w:rsidRDefault="00293CC3" w:rsidP="00293CC3">
      <w:pPr>
        <w:spacing w:after="0" w:line="360" w:lineRule="auto"/>
        <w:ind w:firstLine="720"/>
        <w:jc w:val="both"/>
        <w:rPr>
          <w:rFonts w:ascii="Times New Roman" w:hAnsi="Times New Roman"/>
          <w:sz w:val="24"/>
          <w:szCs w:val="24"/>
          <w:lang w:val="mk-MK"/>
        </w:rPr>
      </w:pPr>
      <w:r w:rsidRPr="00D71985">
        <w:rPr>
          <w:rFonts w:ascii="Times New Roman" w:hAnsi="Times New Roman"/>
          <w:sz w:val="24"/>
          <w:szCs w:val="24"/>
          <w:lang w:val="mk-MK"/>
        </w:rPr>
        <w:t>Иако законските одредби манифестираат компатибилна и симплифицирана примена на меничните правила, анализите покажуваат поинаква фактичка состојба. Попрецизно кажано, покажуваат дека не постои докрај дефиниран режим на примена, кој што соодветствува на реалната/фактичката состојба на полето на транспортните услуги.</w:t>
      </w:r>
    </w:p>
    <w:p w:rsidR="00293CC3" w:rsidRPr="00D71985" w:rsidRDefault="00293CC3" w:rsidP="00293CC3">
      <w:pPr>
        <w:spacing w:after="0" w:line="360" w:lineRule="auto"/>
        <w:ind w:firstLine="720"/>
        <w:jc w:val="both"/>
        <w:rPr>
          <w:rFonts w:ascii="Times New Roman" w:hAnsi="Times New Roman"/>
          <w:i/>
          <w:sz w:val="24"/>
          <w:szCs w:val="24"/>
          <w:lang w:val="mk-MK"/>
        </w:rPr>
      </w:pPr>
    </w:p>
    <w:p w:rsidR="00293CC3" w:rsidRPr="00D71985" w:rsidRDefault="00293CC3" w:rsidP="00293CC3">
      <w:pPr>
        <w:spacing w:after="0" w:line="360" w:lineRule="auto"/>
        <w:ind w:firstLine="720"/>
        <w:jc w:val="both"/>
        <w:rPr>
          <w:rFonts w:ascii="Times New Roman" w:hAnsi="Times New Roman"/>
          <w:i/>
          <w:sz w:val="24"/>
          <w:szCs w:val="24"/>
          <w:lang w:val="mk-MK"/>
        </w:rPr>
      </w:pPr>
    </w:p>
    <w:p w:rsidR="00293CC3" w:rsidRPr="00D71985" w:rsidRDefault="00293CC3" w:rsidP="00293CC3">
      <w:pPr>
        <w:spacing w:line="360" w:lineRule="auto"/>
        <w:ind w:firstLine="720"/>
        <w:jc w:val="both"/>
        <w:rPr>
          <w:rFonts w:ascii="Times New Roman" w:hAnsi="Times New Roman"/>
          <w:i/>
          <w:sz w:val="24"/>
          <w:szCs w:val="24"/>
          <w:lang w:val="mk-MK"/>
        </w:rPr>
      </w:pPr>
      <w:r w:rsidRPr="00D71985">
        <w:rPr>
          <w:rFonts w:ascii="Times New Roman" w:hAnsi="Times New Roman"/>
          <w:b/>
          <w:sz w:val="24"/>
          <w:szCs w:val="24"/>
          <w:lang w:val="mk-MK"/>
        </w:rPr>
        <w:t>Клучни зборови</w:t>
      </w:r>
      <w:r w:rsidRPr="00D71985">
        <w:rPr>
          <w:rFonts w:ascii="Times New Roman" w:hAnsi="Times New Roman"/>
          <w:b/>
          <w:i/>
          <w:sz w:val="24"/>
          <w:szCs w:val="24"/>
          <w:lang w:val="mk-MK"/>
        </w:rPr>
        <w:t xml:space="preserve">: </w:t>
      </w:r>
      <w:r w:rsidRPr="00D71985">
        <w:rPr>
          <w:rFonts w:ascii="Times New Roman" w:hAnsi="Times New Roman"/>
          <w:i/>
          <w:sz w:val="24"/>
          <w:szCs w:val="24"/>
          <w:lang w:val="mk-MK"/>
        </w:rPr>
        <w:t xml:space="preserve">Товарен лист, Коносман, Меница, Индосамент, Цесија, </w:t>
      </w:r>
    </w:p>
    <w:p w:rsidR="00293CC3" w:rsidRPr="00D71985" w:rsidRDefault="00293CC3" w:rsidP="00293CC3">
      <w:pPr>
        <w:spacing w:line="360" w:lineRule="auto"/>
        <w:ind w:firstLine="720"/>
        <w:jc w:val="both"/>
        <w:rPr>
          <w:rFonts w:ascii="Times New Roman" w:hAnsi="Times New Roman"/>
          <w:i/>
          <w:sz w:val="24"/>
          <w:szCs w:val="24"/>
          <w:lang w:val="mk-MK"/>
        </w:rPr>
      </w:pPr>
      <w:r w:rsidRPr="00D71985">
        <w:rPr>
          <w:rFonts w:ascii="Times New Roman" w:hAnsi="Times New Roman"/>
          <w:b/>
          <w:sz w:val="24"/>
          <w:szCs w:val="24"/>
          <w:lang w:val="mk-MK"/>
        </w:rPr>
        <w:t>Кратенки</w:t>
      </w:r>
      <w:r w:rsidRPr="00D71985">
        <w:rPr>
          <w:rFonts w:ascii="Times New Roman" w:hAnsi="Times New Roman"/>
          <w:i/>
          <w:sz w:val="24"/>
          <w:szCs w:val="24"/>
          <w:lang w:val="mk-MK"/>
        </w:rPr>
        <w:t>: К/</w:t>
      </w:r>
      <w:proofErr w:type="spellStart"/>
      <w:r w:rsidRPr="00D71985">
        <w:rPr>
          <w:rFonts w:ascii="Times New Roman" w:hAnsi="Times New Roman"/>
          <w:i/>
          <w:sz w:val="24"/>
          <w:szCs w:val="24"/>
          <w:lang w:val="mk-MK"/>
        </w:rPr>
        <w:t>тл</w:t>
      </w:r>
      <w:proofErr w:type="spellEnd"/>
      <w:r w:rsidRPr="00D71985">
        <w:rPr>
          <w:rFonts w:ascii="Times New Roman" w:hAnsi="Times New Roman"/>
          <w:i/>
          <w:sz w:val="24"/>
          <w:szCs w:val="24"/>
          <w:lang w:val="mk-MK"/>
        </w:rPr>
        <w:t xml:space="preserve"> – Коносман/Товарен лист, ЗМ – Закон за меница, ЗДППС - Закон за договорите за превоз во патниот сообраќај, ЗДПДС - Закон за договорите за превоз во друмскиот сообраќај, ЗОО - Закон за облигационите односи, ЗДПЖС - Закон за договорите за превоз во железничкиот сообраќај. </w:t>
      </w:r>
    </w:p>
    <w:p w:rsidR="00A67FD0" w:rsidRDefault="00A67FD0"/>
    <w:p w:rsidR="00293CC3" w:rsidRDefault="00293CC3"/>
    <w:p w:rsidR="00293CC3" w:rsidRDefault="00293CC3">
      <w:bookmarkStart w:id="0" w:name="_GoBack"/>
      <w:bookmarkEnd w:id="0"/>
    </w:p>
    <w:p w:rsidR="00293CC3" w:rsidRDefault="00293CC3"/>
    <w:p w:rsidR="00293CC3" w:rsidRDefault="00293CC3"/>
    <w:p w:rsidR="00293CC3" w:rsidRPr="00D71985" w:rsidRDefault="00293CC3" w:rsidP="00293CC3">
      <w:pPr>
        <w:spacing w:after="0" w:line="360" w:lineRule="auto"/>
        <w:rPr>
          <w:rFonts w:ascii="Times New Roman" w:hAnsi="Times New Roman"/>
          <w:b/>
          <w:i/>
          <w:sz w:val="24"/>
          <w:szCs w:val="24"/>
          <w:lang w:val="mk-MK"/>
        </w:rPr>
      </w:pPr>
      <w:r w:rsidRPr="00D71985">
        <w:rPr>
          <w:rFonts w:ascii="Times New Roman" w:hAnsi="Times New Roman"/>
          <w:b/>
          <w:i/>
          <w:sz w:val="24"/>
          <w:szCs w:val="24"/>
          <w:lang w:val="mk-MK"/>
        </w:rPr>
        <w:t xml:space="preserve">Заклучок: </w:t>
      </w:r>
    </w:p>
    <w:p w:rsidR="00293CC3" w:rsidRPr="00D71985" w:rsidRDefault="00293CC3" w:rsidP="00293CC3">
      <w:pPr>
        <w:spacing w:after="0" w:line="360" w:lineRule="auto"/>
        <w:rPr>
          <w:rFonts w:ascii="Times New Roman" w:hAnsi="Times New Roman"/>
          <w:b/>
          <w:i/>
          <w:sz w:val="24"/>
          <w:szCs w:val="24"/>
          <w:lang w:val="mk-MK"/>
        </w:rPr>
      </w:pPr>
    </w:p>
    <w:p w:rsidR="00293CC3" w:rsidRPr="005C4F88" w:rsidRDefault="00293CC3" w:rsidP="00293CC3">
      <w:pPr>
        <w:spacing w:after="0" w:line="360" w:lineRule="auto"/>
        <w:ind w:firstLine="720"/>
        <w:jc w:val="both"/>
        <w:rPr>
          <w:rFonts w:ascii="Times New Roman" w:hAnsi="Times New Roman"/>
          <w:b/>
          <w:sz w:val="24"/>
          <w:szCs w:val="24"/>
          <w:lang w:val="mk-MK"/>
        </w:rPr>
      </w:pPr>
      <w:r w:rsidRPr="005C4F88">
        <w:rPr>
          <w:rFonts w:ascii="Times New Roman" w:hAnsi="Times New Roman"/>
          <w:sz w:val="24"/>
          <w:szCs w:val="24"/>
          <w:lang w:val="mk-MK"/>
        </w:rPr>
        <w:t>Проучувањето на прашањето за примената на меничните правила врз преносот к/</w:t>
      </w:r>
      <w:proofErr w:type="spellStart"/>
      <w:r w:rsidRPr="005C4F88">
        <w:rPr>
          <w:rFonts w:ascii="Times New Roman" w:hAnsi="Times New Roman"/>
          <w:sz w:val="24"/>
          <w:szCs w:val="24"/>
          <w:lang w:val="mk-MK"/>
        </w:rPr>
        <w:t>тл</w:t>
      </w:r>
      <w:proofErr w:type="spellEnd"/>
      <w:r w:rsidRPr="005C4F88">
        <w:rPr>
          <w:rFonts w:ascii="Times New Roman" w:hAnsi="Times New Roman"/>
          <w:sz w:val="24"/>
          <w:szCs w:val="24"/>
          <w:lang w:val="mk-MK"/>
        </w:rPr>
        <w:t xml:space="preserve"> не наведе на заклучокот дека компатибилност на решенијата постои единствено кога станува збор за сопственичка меница. Ова становиште го прифаќаме со резерва од аспект на тоа дека на полето на транспортот секогаш постојат три субјекти/учесници во односот. Попрецизно, дека невозможно е превозникот да издаде к/</w:t>
      </w:r>
      <w:proofErr w:type="spellStart"/>
      <w:r w:rsidRPr="005C4F88">
        <w:rPr>
          <w:rFonts w:ascii="Times New Roman" w:hAnsi="Times New Roman"/>
          <w:sz w:val="24"/>
          <w:szCs w:val="24"/>
          <w:lang w:val="mk-MK"/>
        </w:rPr>
        <w:t>тл</w:t>
      </w:r>
      <w:proofErr w:type="spellEnd"/>
      <w:r w:rsidRPr="005C4F88">
        <w:rPr>
          <w:rFonts w:ascii="Times New Roman" w:hAnsi="Times New Roman"/>
          <w:sz w:val="24"/>
          <w:szCs w:val="24"/>
          <w:lang w:val="mk-MK"/>
        </w:rPr>
        <w:t xml:space="preserve"> и самиот да се обврзе на одредена работа. Компатибилност постои во делот на регресот каде </w:t>
      </w:r>
      <w:proofErr w:type="spellStart"/>
      <w:r w:rsidRPr="005C4F88">
        <w:rPr>
          <w:rFonts w:ascii="Times New Roman" w:hAnsi="Times New Roman"/>
          <w:sz w:val="24"/>
          <w:szCs w:val="24"/>
          <w:lang w:val="mk-MK"/>
        </w:rPr>
        <w:t>изрично</w:t>
      </w:r>
      <w:proofErr w:type="spellEnd"/>
      <w:r w:rsidRPr="005C4F88">
        <w:rPr>
          <w:rFonts w:ascii="Times New Roman" w:hAnsi="Times New Roman"/>
          <w:sz w:val="24"/>
          <w:szCs w:val="24"/>
          <w:lang w:val="mk-MK"/>
        </w:rPr>
        <w:t xml:space="preserve"> е утврдено дека правилата за регрес не се применуваат на к/</w:t>
      </w:r>
      <w:proofErr w:type="spellStart"/>
      <w:r w:rsidRPr="005C4F88">
        <w:rPr>
          <w:rFonts w:ascii="Times New Roman" w:hAnsi="Times New Roman"/>
          <w:sz w:val="24"/>
          <w:szCs w:val="24"/>
          <w:lang w:val="mk-MK"/>
        </w:rPr>
        <w:t>тл</w:t>
      </w:r>
      <w:proofErr w:type="spellEnd"/>
      <w:r w:rsidRPr="005C4F88">
        <w:rPr>
          <w:rFonts w:ascii="Times New Roman" w:hAnsi="Times New Roman"/>
          <w:sz w:val="24"/>
          <w:szCs w:val="24"/>
          <w:lang w:val="mk-MK"/>
        </w:rPr>
        <w:t xml:space="preserve">. Разликата се базира на </w:t>
      </w:r>
      <w:r w:rsidRPr="005C4F88">
        <w:rPr>
          <w:rFonts w:ascii="Times New Roman" w:hAnsi="Times New Roman"/>
          <w:b/>
          <w:sz w:val="24"/>
          <w:szCs w:val="24"/>
          <w:lang w:val="mk-MK"/>
        </w:rPr>
        <w:t>концептот на супсидијарна солидарност пасивна одговорност кај меницата</w:t>
      </w:r>
      <w:r w:rsidRPr="005C4F88">
        <w:rPr>
          <w:rFonts w:ascii="Times New Roman" w:hAnsi="Times New Roman"/>
          <w:sz w:val="24"/>
          <w:szCs w:val="24"/>
          <w:lang w:val="mk-MK"/>
        </w:rPr>
        <w:t xml:space="preserve">. Дури и во услови на модернизиран транспорт и појава на </w:t>
      </w:r>
      <w:r w:rsidRPr="005C4F88">
        <w:rPr>
          <w:rFonts w:ascii="Times New Roman" w:hAnsi="Times New Roman"/>
          <w:sz w:val="24"/>
          <w:szCs w:val="24"/>
        </w:rPr>
        <w:t xml:space="preserve">3PL </w:t>
      </w:r>
      <w:r w:rsidRPr="005C4F88">
        <w:rPr>
          <w:rFonts w:ascii="Times New Roman" w:hAnsi="Times New Roman"/>
          <w:sz w:val="24"/>
          <w:szCs w:val="24"/>
          <w:lang w:val="mk-MK"/>
        </w:rPr>
        <w:t xml:space="preserve">и </w:t>
      </w:r>
      <w:r w:rsidRPr="005C4F88">
        <w:rPr>
          <w:rFonts w:ascii="Times New Roman" w:hAnsi="Times New Roman"/>
          <w:sz w:val="24"/>
          <w:szCs w:val="24"/>
        </w:rPr>
        <w:t>4PL</w:t>
      </w:r>
      <w:r w:rsidRPr="005C4F88">
        <w:rPr>
          <w:rFonts w:ascii="Times New Roman" w:hAnsi="Times New Roman"/>
          <w:sz w:val="24"/>
          <w:szCs w:val="24"/>
          <w:lang w:val="mk-MK"/>
        </w:rPr>
        <w:t xml:space="preserve"> логистички оператори, останува примената на граѓанско правниот концепт на одговорност. </w:t>
      </w:r>
      <w:r w:rsidRPr="005C4F88">
        <w:rPr>
          <w:rFonts w:ascii="Times New Roman" w:hAnsi="Times New Roman"/>
          <w:sz w:val="24"/>
          <w:szCs w:val="24"/>
        </w:rPr>
        <w:t xml:space="preserve"> </w:t>
      </w:r>
    </w:p>
    <w:p w:rsidR="00293CC3" w:rsidRPr="00694D27" w:rsidRDefault="00293CC3" w:rsidP="00293CC3">
      <w:pPr>
        <w:spacing w:after="0" w:line="360" w:lineRule="auto"/>
        <w:jc w:val="center"/>
        <w:rPr>
          <w:rFonts w:ascii="Times New Roman" w:hAnsi="Times New Roman"/>
          <w:b/>
          <w:i/>
          <w:sz w:val="24"/>
          <w:szCs w:val="24"/>
          <w:lang w:val="mk-MK"/>
        </w:rPr>
      </w:pPr>
    </w:p>
    <w:p w:rsidR="00293CC3" w:rsidRPr="00694D27" w:rsidRDefault="00293CC3" w:rsidP="00293CC3">
      <w:pPr>
        <w:spacing w:line="360" w:lineRule="auto"/>
        <w:jc w:val="center"/>
        <w:rPr>
          <w:rFonts w:ascii="Times New Roman" w:hAnsi="Times New Roman"/>
          <w:b/>
          <w:i/>
          <w:sz w:val="24"/>
          <w:szCs w:val="24"/>
          <w:lang w:val="mk-MK"/>
        </w:rPr>
      </w:pPr>
    </w:p>
    <w:p w:rsidR="00293CC3" w:rsidRDefault="00293CC3"/>
    <w:sectPr w:rsidR="00293C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C4C" w:rsidRDefault="007B1C4C" w:rsidP="00293CC3">
      <w:pPr>
        <w:spacing w:after="0" w:line="240" w:lineRule="auto"/>
      </w:pPr>
      <w:r>
        <w:separator/>
      </w:r>
    </w:p>
  </w:endnote>
  <w:endnote w:type="continuationSeparator" w:id="0">
    <w:p w:rsidR="007B1C4C" w:rsidRDefault="007B1C4C" w:rsidP="0029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C4C" w:rsidRDefault="007B1C4C" w:rsidP="00293CC3">
      <w:pPr>
        <w:spacing w:after="0" w:line="240" w:lineRule="auto"/>
      </w:pPr>
      <w:r>
        <w:separator/>
      </w:r>
    </w:p>
  </w:footnote>
  <w:footnote w:type="continuationSeparator" w:id="0">
    <w:p w:rsidR="007B1C4C" w:rsidRDefault="007B1C4C" w:rsidP="00293CC3">
      <w:pPr>
        <w:spacing w:after="0" w:line="240" w:lineRule="auto"/>
      </w:pPr>
      <w:r>
        <w:continuationSeparator/>
      </w:r>
    </w:p>
  </w:footnote>
  <w:footnote w:id="1">
    <w:p w:rsidR="00293CC3" w:rsidRPr="00393339" w:rsidRDefault="00293CC3" w:rsidP="00293CC3">
      <w:pPr>
        <w:pStyle w:val="FootnoteText"/>
        <w:rPr>
          <w:lang w:val="mk-MK"/>
        </w:rPr>
      </w:pPr>
      <w:r>
        <w:rPr>
          <w:rStyle w:val="FootnoteReference"/>
        </w:rPr>
        <w:footnoteRef/>
      </w:r>
      <w:r>
        <w:t xml:space="preserve"> </w:t>
      </w:r>
      <w:r w:rsidRPr="00497B89">
        <w:rPr>
          <w:rFonts w:ascii="Times New Roman" w:hAnsi="Times New Roman"/>
          <w:i/>
          <w:lang w:val="mk-MK"/>
        </w:rPr>
        <w:t>Авторот е доцент на Правен факултет при Универзитетот „Гоце Делчев“ – Штип</w:t>
      </w:r>
      <w:r>
        <w:rPr>
          <w:rFonts w:ascii="Times New Roman" w:hAnsi="Times New Roman"/>
          <w:lang w:val="mk-MK"/>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C3"/>
    <w:rsid w:val="00293CC3"/>
    <w:rsid w:val="007B1C4C"/>
    <w:rsid w:val="00A67FD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9769D-40CA-45E8-B8B9-56FC1310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C3"/>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293CC3"/>
    <w:pPr>
      <w:spacing w:after="0" w:line="240" w:lineRule="auto"/>
    </w:pPr>
    <w:rPr>
      <w:rFonts w:ascii="Verdana" w:eastAsia="Times New Roman" w:hAnsi="Verdana"/>
      <w:sz w:val="20"/>
      <w:szCs w:val="18"/>
      <w:lang w:val="en-GB" w:eastAsia="en-GB"/>
    </w:rPr>
  </w:style>
  <w:style w:type="character" w:customStyle="1" w:styleId="FootnoteTextChar">
    <w:name w:val="Footnote Text Char"/>
    <w:basedOn w:val="DefaultParagraphFont"/>
    <w:link w:val="FootnoteText"/>
    <w:uiPriority w:val="99"/>
    <w:semiHidden/>
    <w:rsid w:val="00293CC3"/>
    <w:rPr>
      <w:rFonts w:ascii="Verdana" w:eastAsia="Times New Roman" w:hAnsi="Verdana" w:cs="Times New Roman"/>
      <w:sz w:val="20"/>
      <w:szCs w:val="18"/>
      <w:lang w:val="en-GB" w:eastAsia="en-GB"/>
    </w:rPr>
  </w:style>
  <w:style w:type="character" w:styleId="FootnoteReference">
    <w:name w:val="footnote reference"/>
    <w:uiPriority w:val="99"/>
    <w:rsid w:val="00293C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Borka Tusevska</dc:creator>
  <cp:keywords/>
  <dc:description/>
  <cp:lastModifiedBy>Borka Tusevska</cp:lastModifiedBy>
  <cp:revision>1</cp:revision>
  <dcterms:created xsi:type="dcterms:W3CDTF">2014-02-10T11:37:00Z</dcterms:created>
  <dcterms:modified xsi:type="dcterms:W3CDTF">2014-02-10T11:38:00Z</dcterms:modified>
</cp:coreProperties>
</file>