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E4" w:rsidRPr="000B7250" w:rsidRDefault="00311365" w:rsidP="00C73F58">
      <w:pPr>
        <w:spacing w:line="240" w:lineRule="auto"/>
        <w:rPr>
          <w:rFonts w:ascii="Arial" w:hAnsi="Arial"/>
          <w:sz w:val="28"/>
          <w:szCs w:val="28"/>
        </w:rPr>
      </w:pPr>
      <w:bookmarkStart w:id="0" w:name="_GoBack"/>
      <w:r w:rsidRPr="000B7250">
        <w:rPr>
          <w:rFonts w:ascii="Arial" w:hAnsi="Arial"/>
          <w:sz w:val="28"/>
          <w:szCs w:val="28"/>
        </w:rPr>
        <w:t>Univerzitet u Nišu, Ekonomski fakultet, Niš,</w:t>
      </w:r>
      <w:r w:rsidR="0027700A" w:rsidRPr="000B7250">
        <w:rPr>
          <w:rFonts w:ascii="Arial" w:hAnsi="Arial"/>
          <w:sz w:val="28"/>
          <w:szCs w:val="28"/>
        </w:rPr>
        <w:t xml:space="preserve"> </w:t>
      </w:r>
      <w:r w:rsidR="00C165E8" w:rsidRPr="000B7250">
        <w:rPr>
          <w:rFonts w:ascii="Arial" w:hAnsi="Arial"/>
          <w:sz w:val="28"/>
          <w:szCs w:val="28"/>
        </w:rPr>
        <w:t xml:space="preserve">21 </w:t>
      </w:r>
      <w:r w:rsidRPr="000B7250">
        <w:rPr>
          <w:rFonts w:ascii="Arial" w:hAnsi="Arial"/>
          <w:sz w:val="28"/>
          <w:szCs w:val="28"/>
        </w:rPr>
        <w:t>jun 2013, XVIII Naučni skup</w:t>
      </w:r>
    </w:p>
    <w:p w:rsidR="00311365" w:rsidRPr="000B7250" w:rsidRDefault="00311365" w:rsidP="00C73F58">
      <w:pPr>
        <w:spacing w:line="240" w:lineRule="auto"/>
        <w:rPr>
          <w:rFonts w:ascii="Arial" w:hAnsi="Arial"/>
          <w:sz w:val="28"/>
          <w:szCs w:val="28"/>
        </w:rPr>
      </w:pPr>
      <w:r w:rsidRPr="000B7250">
        <w:rPr>
          <w:rFonts w:ascii="Arial" w:hAnsi="Arial"/>
          <w:sz w:val="28"/>
          <w:szCs w:val="28"/>
        </w:rPr>
        <w:t>REGIONALNI  RAZVOJ  I DEMOGRAFSKI  TOKOVI  ZEMALJA JUGOISTOČNE  EVROPE</w:t>
      </w:r>
    </w:p>
    <w:bookmarkEnd w:id="0"/>
    <w:p w:rsidR="00311365" w:rsidRPr="00DA203E" w:rsidRDefault="00311365" w:rsidP="00C73F58">
      <w:pPr>
        <w:spacing w:line="240" w:lineRule="auto"/>
        <w:rPr>
          <w:rFonts w:ascii="Arial" w:hAnsi="Arial"/>
          <w:sz w:val="20"/>
          <w:szCs w:val="20"/>
        </w:rPr>
      </w:pPr>
      <w:r>
        <w:rPr>
          <w:rFonts w:ascii="Arial" w:hAnsi="Arial"/>
          <w:sz w:val="20"/>
          <w:szCs w:val="20"/>
        </w:rPr>
        <w:t xml:space="preserve">                           </w:t>
      </w:r>
    </w:p>
    <w:p w:rsidR="00DA203E" w:rsidRPr="00DA203E" w:rsidRDefault="00DA203E" w:rsidP="00C73F58">
      <w:pPr>
        <w:spacing w:line="240" w:lineRule="auto"/>
        <w:rPr>
          <w:rFonts w:ascii="Arial" w:hAnsi="Arial"/>
          <w:sz w:val="20"/>
          <w:szCs w:val="20"/>
        </w:rPr>
      </w:pPr>
    </w:p>
    <w:p w:rsidR="00DA203E" w:rsidRDefault="00DA203E" w:rsidP="002B001C">
      <w:pPr>
        <w:spacing w:line="240" w:lineRule="auto"/>
        <w:jc w:val="center"/>
        <w:rPr>
          <w:rFonts w:ascii="Arial" w:hAnsi="Arial"/>
          <w:sz w:val="20"/>
          <w:szCs w:val="20"/>
        </w:rPr>
      </w:pPr>
      <w:r w:rsidRPr="002B001C">
        <w:rPr>
          <w:rFonts w:ascii="Arial" w:hAnsi="Arial"/>
          <w:b/>
          <w:sz w:val="20"/>
          <w:szCs w:val="20"/>
        </w:rPr>
        <w:t>LIFE EXPECTANCY IN THE REPUBLIC OF MACEDONIA AND THE EU COUNTRIES AND ITS CORRELATIVE DEPENDENCY WITH GDP PER CAPITA</w:t>
      </w:r>
      <w:r w:rsidR="00311365">
        <w:rPr>
          <w:rFonts w:ascii="Arial" w:hAnsi="Arial"/>
          <w:sz w:val="20"/>
          <w:szCs w:val="20"/>
        </w:rPr>
        <w:t xml:space="preserve"> (UDC 330.556 (497.7)</w:t>
      </w:r>
    </w:p>
    <w:p w:rsidR="00311365" w:rsidRPr="009E7BCC" w:rsidRDefault="00311365" w:rsidP="00C73F58">
      <w:pPr>
        <w:spacing w:line="240" w:lineRule="auto"/>
        <w:rPr>
          <w:rFonts w:ascii="Arial" w:hAnsi="Arial"/>
          <w:b/>
          <w:sz w:val="20"/>
          <w:szCs w:val="20"/>
          <w:lang w:val="it-IT"/>
        </w:rPr>
      </w:pPr>
      <w:r w:rsidRPr="009E7BCC">
        <w:rPr>
          <w:rFonts w:ascii="Arial" w:hAnsi="Arial"/>
          <w:b/>
          <w:sz w:val="20"/>
          <w:szCs w:val="20"/>
          <w:lang w:val="it-IT"/>
        </w:rPr>
        <w:t>ISBN: 978-86-6139-067-8</w:t>
      </w:r>
    </w:p>
    <w:p w:rsidR="00DA203E" w:rsidRPr="009E7BCC" w:rsidRDefault="00DA203E" w:rsidP="00C73F58">
      <w:pPr>
        <w:spacing w:line="240" w:lineRule="auto"/>
        <w:rPr>
          <w:rFonts w:ascii="Arial" w:hAnsi="Arial"/>
          <w:sz w:val="20"/>
          <w:szCs w:val="20"/>
          <w:lang w:val="it-IT"/>
        </w:rPr>
      </w:pPr>
      <w:r w:rsidRPr="009E7BCC">
        <w:rPr>
          <w:rFonts w:ascii="Arial" w:hAnsi="Arial"/>
          <w:sz w:val="20"/>
          <w:szCs w:val="20"/>
          <w:lang w:val="it-IT"/>
        </w:rPr>
        <w:t>Trajko Miceski, PhD*</w:t>
      </w:r>
    </w:p>
    <w:p w:rsidR="00DA203E" w:rsidRPr="009E7BCC" w:rsidRDefault="00DA203E" w:rsidP="00C73F58">
      <w:pPr>
        <w:spacing w:line="240" w:lineRule="auto"/>
        <w:rPr>
          <w:rFonts w:ascii="Arial" w:hAnsi="Arial"/>
          <w:sz w:val="20"/>
          <w:szCs w:val="20"/>
          <w:lang w:val="it-IT"/>
        </w:rPr>
      </w:pPr>
      <w:r w:rsidRPr="009E7BCC">
        <w:rPr>
          <w:rFonts w:ascii="Arial" w:hAnsi="Arial"/>
          <w:sz w:val="20"/>
          <w:szCs w:val="20"/>
          <w:lang w:val="it-IT"/>
        </w:rPr>
        <w:t>Risto Fotov, PhD*</w:t>
      </w:r>
    </w:p>
    <w:p w:rsidR="00266A84" w:rsidRDefault="009E7BCC" w:rsidP="00C165E8">
      <w:pPr>
        <w:spacing w:line="240" w:lineRule="auto"/>
        <w:jc w:val="both"/>
        <w:rPr>
          <w:rFonts w:ascii="Arial" w:hAnsi="Arial"/>
          <w:sz w:val="20"/>
          <w:szCs w:val="20"/>
        </w:rPr>
      </w:pPr>
      <w:r>
        <w:rPr>
          <w:rFonts w:ascii="Arial" w:hAnsi="Arial"/>
          <w:sz w:val="20"/>
          <w:szCs w:val="20"/>
        </w:rPr>
        <w:t>Abstract: Statistical data sho</w:t>
      </w:r>
      <w:r w:rsidR="00266A84">
        <w:rPr>
          <w:rFonts w:ascii="Arial" w:hAnsi="Arial"/>
          <w:sz w:val="20"/>
          <w:szCs w:val="20"/>
        </w:rPr>
        <w:t>w that in the Repu</w:t>
      </w:r>
      <w:r>
        <w:rPr>
          <w:rFonts w:ascii="Arial" w:hAnsi="Arial"/>
          <w:sz w:val="20"/>
          <w:szCs w:val="20"/>
        </w:rPr>
        <w:t>blic of Macedonia life expectanc</w:t>
      </w:r>
      <w:r w:rsidR="00266A84">
        <w:rPr>
          <w:rFonts w:ascii="Arial" w:hAnsi="Arial"/>
          <w:sz w:val="20"/>
          <w:szCs w:val="20"/>
        </w:rPr>
        <w:t>y in 1993 was average 71,8 years, in 2000</w:t>
      </w:r>
      <w:r w:rsidR="00C165E8">
        <w:rPr>
          <w:rFonts w:ascii="Arial" w:hAnsi="Arial"/>
          <w:sz w:val="20"/>
          <w:szCs w:val="20"/>
        </w:rPr>
        <w:t xml:space="preserve"> </w:t>
      </w:r>
      <w:r w:rsidR="00266A84">
        <w:rPr>
          <w:rFonts w:ascii="Arial" w:hAnsi="Arial"/>
          <w:sz w:val="20"/>
          <w:szCs w:val="20"/>
        </w:rPr>
        <w:t>-</w:t>
      </w:r>
      <w:r w:rsidR="00C165E8">
        <w:rPr>
          <w:rFonts w:ascii="Arial" w:hAnsi="Arial"/>
          <w:sz w:val="20"/>
          <w:szCs w:val="20"/>
        </w:rPr>
        <w:t xml:space="preserve"> </w:t>
      </w:r>
      <w:r w:rsidR="00266A84">
        <w:rPr>
          <w:rFonts w:ascii="Arial" w:hAnsi="Arial"/>
          <w:sz w:val="20"/>
          <w:szCs w:val="20"/>
        </w:rPr>
        <w:t>72,9 years and in</w:t>
      </w:r>
      <w:r w:rsidR="00C165E8">
        <w:rPr>
          <w:rFonts w:ascii="Arial" w:hAnsi="Arial"/>
          <w:sz w:val="20"/>
          <w:szCs w:val="20"/>
        </w:rPr>
        <w:t xml:space="preserve"> </w:t>
      </w:r>
      <w:r w:rsidR="00266A84">
        <w:rPr>
          <w:rFonts w:ascii="Arial" w:hAnsi="Arial"/>
          <w:sz w:val="20"/>
          <w:szCs w:val="20"/>
        </w:rPr>
        <w:t>2010</w:t>
      </w:r>
      <w:r w:rsidR="00C165E8">
        <w:rPr>
          <w:rFonts w:ascii="Arial" w:hAnsi="Arial"/>
          <w:sz w:val="20"/>
          <w:szCs w:val="20"/>
        </w:rPr>
        <w:t xml:space="preserve"> </w:t>
      </w:r>
      <w:r w:rsidR="00266A84">
        <w:rPr>
          <w:rFonts w:ascii="Arial" w:hAnsi="Arial"/>
          <w:sz w:val="20"/>
          <w:szCs w:val="20"/>
        </w:rPr>
        <w:t>-</w:t>
      </w:r>
      <w:r w:rsidR="00C165E8">
        <w:rPr>
          <w:rFonts w:ascii="Arial" w:hAnsi="Arial"/>
          <w:sz w:val="20"/>
          <w:szCs w:val="20"/>
        </w:rPr>
        <w:t xml:space="preserve"> 74,6 years, w</w:t>
      </w:r>
      <w:r w:rsidR="00266A84">
        <w:rPr>
          <w:rFonts w:ascii="Arial" w:hAnsi="Arial"/>
          <w:sz w:val="20"/>
          <w:szCs w:val="20"/>
        </w:rPr>
        <w:t xml:space="preserve">hile in the EU countries in 1993 </w:t>
      </w:r>
      <w:r w:rsidR="00C165E8">
        <w:rPr>
          <w:rFonts w:ascii="Arial" w:hAnsi="Arial"/>
          <w:sz w:val="20"/>
          <w:szCs w:val="20"/>
        </w:rPr>
        <w:t xml:space="preserve">it was </w:t>
      </w:r>
      <w:r w:rsidR="00266A84">
        <w:rPr>
          <w:rFonts w:ascii="Arial" w:hAnsi="Arial"/>
          <w:sz w:val="20"/>
          <w:szCs w:val="20"/>
        </w:rPr>
        <w:t>average 75,4 years, in 2000</w:t>
      </w:r>
      <w:r w:rsidR="00C165E8">
        <w:rPr>
          <w:rFonts w:ascii="Arial" w:hAnsi="Arial"/>
          <w:sz w:val="20"/>
          <w:szCs w:val="20"/>
        </w:rPr>
        <w:t xml:space="preserve"> </w:t>
      </w:r>
      <w:r w:rsidR="00266A84">
        <w:rPr>
          <w:rFonts w:ascii="Arial" w:hAnsi="Arial"/>
          <w:sz w:val="20"/>
          <w:szCs w:val="20"/>
        </w:rPr>
        <w:t>-</w:t>
      </w:r>
      <w:r w:rsidR="00C165E8">
        <w:rPr>
          <w:rFonts w:ascii="Arial" w:hAnsi="Arial"/>
          <w:sz w:val="20"/>
          <w:szCs w:val="20"/>
        </w:rPr>
        <w:t xml:space="preserve"> 77,2 years and in</w:t>
      </w:r>
      <w:r w:rsidR="00266A84">
        <w:rPr>
          <w:rFonts w:ascii="Arial" w:hAnsi="Arial"/>
          <w:sz w:val="20"/>
          <w:szCs w:val="20"/>
        </w:rPr>
        <w:t xml:space="preserve"> 2010</w:t>
      </w:r>
      <w:r w:rsidR="00C165E8">
        <w:rPr>
          <w:rFonts w:ascii="Arial" w:hAnsi="Arial"/>
          <w:sz w:val="20"/>
          <w:szCs w:val="20"/>
        </w:rPr>
        <w:t xml:space="preserve"> </w:t>
      </w:r>
      <w:r w:rsidR="00266A84">
        <w:rPr>
          <w:rFonts w:ascii="Arial" w:hAnsi="Arial"/>
          <w:sz w:val="20"/>
          <w:szCs w:val="20"/>
        </w:rPr>
        <w:t>-</w:t>
      </w:r>
      <w:r w:rsidR="00C165E8">
        <w:rPr>
          <w:rFonts w:ascii="Arial" w:hAnsi="Arial"/>
          <w:sz w:val="20"/>
          <w:szCs w:val="20"/>
        </w:rPr>
        <w:t xml:space="preserve"> 79,6 years. Prediction</w:t>
      </w:r>
      <w:r w:rsidR="00266A84">
        <w:rPr>
          <w:rFonts w:ascii="Arial" w:hAnsi="Arial"/>
          <w:sz w:val="20"/>
          <w:szCs w:val="20"/>
        </w:rPr>
        <w:t xml:space="preserve"> signalizes that in the </w:t>
      </w:r>
      <w:r w:rsidR="00C165E8">
        <w:rPr>
          <w:rFonts w:ascii="Arial" w:hAnsi="Arial"/>
          <w:sz w:val="20"/>
          <w:szCs w:val="20"/>
        </w:rPr>
        <w:t xml:space="preserve">next </w:t>
      </w:r>
      <w:r>
        <w:rPr>
          <w:rFonts w:ascii="Arial" w:hAnsi="Arial"/>
          <w:sz w:val="20"/>
          <w:szCs w:val="20"/>
        </w:rPr>
        <w:t>period average life expectanc</w:t>
      </w:r>
      <w:r w:rsidR="00266A84">
        <w:rPr>
          <w:rFonts w:ascii="Arial" w:hAnsi="Arial"/>
          <w:sz w:val="20"/>
          <w:szCs w:val="20"/>
        </w:rPr>
        <w:t>y will increase. While processing the data it is stated that the correlation ratio between the average life expectancy and the GDP per capita in the EU countries is quite high</w:t>
      </w:r>
      <w:r w:rsidR="002160DE">
        <w:rPr>
          <w:rFonts w:ascii="Arial" w:hAnsi="Arial"/>
          <w:sz w:val="20"/>
          <w:szCs w:val="20"/>
        </w:rPr>
        <w:t xml:space="preserve"> </w:t>
      </w:r>
      <w:r w:rsidR="00266A84">
        <w:rPr>
          <w:rFonts w:ascii="Arial" w:hAnsi="Arial"/>
          <w:sz w:val="20"/>
          <w:szCs w:val="20"/>
        </w:rPr>
        <w:t>-</w:t>
      </w:r>
      <w:r w:rsidR="002160DE">
        <w:rPr>
          <w:rFonts w:ascii="Arial" w:hAnsi="Arial"/>
          <w:sz w:val="20"/>
          <w:szCs w:val="20"/>
        </w:rPr>
        <w:t xml:space="preserve"> </w:t>
      </w:r>
      <w:r w:rsidR="00266A84">
        <w:rPr>
          <w:rFonts w:ascii="Arial" w:hAnsi="Arial"/>
          <w:sz w:val="20"/>
          <w:szCs w:val="20"/>
        </w:rPr>
        <w:t>0,90 which shows strong correlative depend</w:t>
      </w:r>
      <w:r w:rsidR="00DF5F76">
        <w:rPr>
          <w:rFonts w:ascii="Arial" w:hAnsi="Arial"/>
          <w:sz w:val="20"/>
          <w:szCs w:val="20"/>
        </w:rPr>
        <w:t>e</w:t>
      </w:r>
      <w:r w:rsidR="00266A84">
        <w:rPr>
          <w:rFonts w:ascii="Arial" w:hAnsi="Arial"/>
          <w:sz w:val="20"/>
          <w:szCs w:val="20"/>
        </w:rPr>
        <w:t>nce</w:t>
      </w:r>
      <w:r w:rsidR="00DF5F76">
        <w:rPr>
          <w:rFonts w:ascii="Arial" w:hAnsi="Arial"/>
          <w:sz w:val="20"/>
          <w:szCs w:val="20"/>
        </w:rPr>
        <w:t>, while determination ratio is 81% which</w:t>
      </w:r>
      <w:r w:rsidR="007B7A08">
        <w:rPr>
          <w:rFonts w:ascii="Arial" w:hAnsi="Arial"/>
          <w:sz w:val="20"/>
          <w:szCs w:val="20"/>
        </w:rPr>
        <w:t xml:space="preserve"> means that life standard expressed through GDP has 81% influence on the life expectancy of the population and 19% have influence other factors. In the Republic of Macedonia correlative dependence is 0,87 and determination ratio is 75%. Statistical data is processed using table and graphic display.</w:t>
      </w:r>
    </w:p>
    <w:p w:rsidR="007B7A08" w:rsidRDefault="009E7BCC" w:rsidP="00C73F58">
      <w:pPr>
        <w:spacing w:line="240" w:lineRule="auto"/>
        <w:rPr>
          <w:rFonts w:ascii="Arial" w:hAnsi="Arial"/>
          <w:sz w:val="20"/>
          <w:szCs w:val="20"/>
        </w:rPr>
      </w:pPr>
      <w:r>
        <w:rPr>
          <w:rFonts w:ascii="Arial" w:hAnsi="Arial"/>
          <w:sz w:val="20"/>
          <w:szCs w:val="20"/>
        </w:rPr>
        <w:t>Key wo</w:t>
      </w:r>
      <w:r w:rsidR="007B7A08">
        <w:rPr>
          <w:rFonts w:ascii="Arial" w:hAnsi="Arial"/>
          <w:sz w:val="20"/>
          <w:szCs w:val="20"/>
        </w:rPr>
        <w:t>rds</w:t>
      </w:r>
      <w:r w:rsidR="0023438A">
        <w:rPr>
          <w:rFonts w:ascii="Arial" w:hAnsi="Arial"/>
          <w:sz w:val="20"/>
          <w:szCs w:val="20"/>
        </w:rPr>
        <w:t>:</w:t>
      </w:r>
      <w:r w:rsidR="007B7A08">
        <w:rPr>
          <w:rFonts w:ascii="Arial" w:hAnsi="Arial"/>
          <w:sz w:val="20"/>
          <w:szCs w:val="20"/>
        </w:rPr>
        <w:t xml:space="preserve"> life, GDP, data, processing, correlation, determination.</w:t>
      </w:r>
    </w:p>
    <w:p w:rsidR="00C165E8" w:rsidRDefault="00C165E8" w:rsidP="00C73F58">
      <w:pPr>
        <w:spacing w:line="240" w:lineRule="auto"/>
        <w:rPr>
          <w:rFonts w:ascii="Arial" w:hAnsi="Arial"/>
          <w:sz w:val="20"/>
          <w:szCs w:val="20"/>
        </w:rPr>
      </w:pPr>
    </w:p>
    <w:p w:rsidR="007B7A08" w:rsidRDefault="00B170CF" w:rsidP="001A1F9A">
      <w:pPr>
        <w:spacing w:line="240" w:lineRule="auto"/>
        <w:jc w:val="center"/>
        <w:rPr>
          <w:rFonts w:ascii="Arial" w:hAnsi="Arial"/>
          <w:b/>
          <w:sz w:val="20"/>
          <w:szCs w:val="20"/>
        </w:rPr>
      </w:pPr>
      <w:r w:rsidRPr="00B170CF">
        <w:rPr>
          <w:rFonts w:ascii="Arial" w:hAnsi="Arial"/>
          <w:b/>
          <w:sz w:val="20"/>
          <w:szCs w:val="20"/>
        </w:rPr>
        <w:t>Introduction</w:t>
      </w:r>
    </w:p>
    <w:p w:rsidR="00B170CF" w:rsidRDefault="002160DE" w:rsidP="00C165E8">
      <w:pPr>
        <w:spacing w:after="0" w:line="240" w:lineRule="auto"/>
        <w:jc w:val="both"/>
        <w:rPr>
          <w:rFonts w:ascii="Arial" w:hAnsi="Arial"/>
          <w:sz w:val="20"/>
          <w:szCs w:val="20"/>
        </w:rPr>
      </w:pPr>
      <w:r>
        <w:rPr>
          <w:rFonts w:ascii="Arial" w:hAnsi="Arial"/>
          <w:sz w:val="20"/>
          <w:szCs w:val="20"/>
        </w:rPr>
        <w:t xml:space="preserve">Life expectancy in Republic of Macedonia and in the EU countries </w:t>
      </w:r>
      <w:r w:rsidR="00C165E8">
        <w:rPr>
          <w:rFonts w:ascii="Arial" w:hAnsi="Arial"/>
          <w:sz w:val="20"/>
          <w:szCs w:val="20"/>
        </w:rPr>
        <w:t>is continuously increasing</w:t>
      </w:r>
      <w:r>
        <w:rPr>
          <w:rFonts w:ascii="Arial" w:hAnsi="Arial"/>
          <w:sz w:val="20"/>
          <w:szCs w:val="20"/>
        </w:rPr>
        <w:t>.</w:t>
      </w:r>
      <w:r w:rsidR="005F2A8B">
        <w:rPr>
          <w:rFonts w:ascii="Arial" w:hAnsi="Arial"/>
          <w:sz w:val="20"/>
          <w:szCs w:val="20"/>
        </w:rPr>
        <w:t xml:space="preserve"> In the </w:t>
      </w:r>
      <w:r w:rsidR="009A3202">
        <w:rPr>
          <w:rFonts w:ascii="Arial" w:hAnsi="Arial"/>
          <w:sz w:val="20"/>
          <w:szCs w:val="20"/>
        </w:rPr>
        <w:t xml:space="preserve">last thirty years is noticed increase </w:t>
      </w:r>
      <w:r w:rsidR="00C165E8">
        <w:rPr>
          <w:rFonts w:ascii="Arial" w:hAnsi="Arial"/>
          <w:sz w:val="20"/>
          <w:szCs w:val="20"/>
        </w:rPr>
        <w:t>in</w:t>
      </w:r>
      <w:r w:rsidR="009A3202">
        <w:rPr>
          <w:rFonts w:ascii="Arial" w:hAnsi="Arial"/>
          <w:sz w:val="20"/>
          <w:szCs w:val="20"/>
        </w:rPr>
        <w:t xml:space="preserve"> average life expectancy in Republic of M</w:t>
      </w:r>
      <w:r w:rsidR="00C165E8">
        <w:rPr>
          <w:rFonts w:ascii="Arial" w:hAnsi="Arial"/>
          <w:sz w:val="20"/>
          <w:szCs w:val="20"/>
        </w:rPr>
        <w:t>a</w:t>
      </w:r>
      <w:r w:rsidR="009A3202">
        <w:rPr>
          <w:rFonts w:ascii="Arial" w:hAnsi="Arial"/>
          <w:sz w:val="20"/>
          <w:szCs w:val="20"/>
        </w:rPr>
        <w:t xml:space="preserve">cedonia. In the period between 1980 and 2011 life expectancy increases for one year after seven </w:t>
      </w:r>
      <w:r w:rsidR="00C165E8">
        <w:rPr>
          <w:rFonts w:ascii="Arial" w:hAnsi="Arial"/>
          <w:sz w:val="20"/>
          <w:szCs w:val="20"/>
        </w:rPr>
        <w:t xml:space="preserve">past </w:t>
      </w:r>
      <w:r w:rsidR="009A3202">
        <w:rPr>
          <w:rFonts w:ascii="Arial" w:hAnsi="Arial"/>
          <w:sz w:val="20"/>
          <w:szCs w:val="20"/>
        </w:rPr>
        <w:t>years and then after five.</w:t>
      </w:r>
    </w:p>
    <w:p w:rsidR="009A3202" w:rsidRDefault="00C165E8" w:rsidP="00C165E8">
      <w:pPr>
        <w:spacing w:after="0" w:line="240" w:lineRule="auto"/>
        <w:jc w:val="both"/>
        <w:rPr>
          <w:rFonts w:ascii="Arial" w:hAnsi="Arial"/>
          <w:sz w:val="20"/>
          <w:szCs w:val="20"/>
        </w:rPr>
      </w:pPr>
      <w:r>
        <w:rPr>
          <w:rFonts w:ascii="Arial" w:hAnsi="Arial"/>
          <w:sz w:val="20"/>
          <w:szCs w:val="20"/>
        </w:rPr>
        <w:t>Average life expe</w:t>
      </w:r>
      <w:r w:rsidR="009A3202">
        <w:rPr>
          <w:rFonts w:ascii="Arial" w:hAnsi="Arial"/>
          <w:sz w:val="20"/>
          <w:szCs w:val="20"/>
        </w:rPr>
        <w:t>ctancy in the EU countries between 1980 and 1993</w:t>
      </w:r>
      <w:r>
        <w:rPr>
          <w:rFonts w:ascii="Arial" w:hAnsi="Arial"/>
          <w:sz w:val="20"/>
          <w:szCs w:val="20"/>
        </w:rPr>
        <w:t xml:space="preserve"> increases for one year after</w:t>
      </w:r>
      <w:r w:rsidR="009A3202">
        <w:rPr>
          <w:rFonts w:ascii="Arial" w:hAnsi="Arial"/>
          <w:sz w:val="20"/>
          <w:szCs w:val="20"/>
        </w:rPr>
        <w:t xml:space="preserve"> six </w:t>
      </w:r>
      <w:r>
        <w:rPr>
          <w:rFonts w:ascii="Arial" w:hAnsi="Arial"/>
          <w:sz w:val="20"/>
          <w:szCs w:val="20"/>
        </w:rPr>
        <w:t xml:space="preserve">past years, and from 1993 until 2011 </w:t>
      </w:r>
    </w:p>
    <w:p w:rsidR="009A3202" w:rsidRDefault="009A3202" w:rsidP="00C165E8">
      <w:pPr>
        <w:spacing w:after="0" w:line="240" w:lineRule="auto"/>
        <w:jc w:val="both"/>
        <w:rPr>
          <w:rFonts w:ascii="Arial" w:hAnsi="Arial"/>
          <w:sz w:val="20"/>
          <w:szCs w:val="20"/>
        </w:rPr>
      </w:pPr>
      <w:r>
        <w:rPr>
          <w:rFonts w:ascii="Arial" w:hAnsi="Arial"/>
          <w:sz w:val="20"/>
          <w:szCs w:val="20"/>
        </w:rPr>
        <w:t>The expectation leads to the fact that in the following period the average life expectancy will increase.</w:t>
      </w:r>
    </w:p>
    <w:p w:rsidR="009A3202" w:rsidRDefault="009A3202" w:rsidP="00C165E8">
      <w:pPr>
        <w:spacing w:after="0" w:line="240" w:lineRule="auto"/>
        <w:jc w:val="both"/>
        <w:rPr>
          <w:rFonts w:ascii="Arial" w:hAnsi="Arial"/>
          <w:sz w:val="20"/>
          <w:szCs w:val="20"/>
        </w:rPr>
      </w:pPr>
      <w:r>
        <w:rPr>
          <w:rFonts w:ascii="Arial" w:hAnsi="Arial"/>
          <w:sz w:val="20"/>
          <w:szCs w:val="20"/>
        </w:rPr>
        <w:t>The processed statistical data show that Republic of Macedonia stands behind reg</w:t>
      </w:r>
      <w:r w:rsidR="00C165E8">
        <w:rPr>
          <w:rFonts w:ascii="Arial" w:hAnsi="Arial"/>
          <w:sz w:val="20"/>
          <w:szCs w:val="20"/>
        </w:rPr>
        <w:t>arding average life expectancy c</w:t>
      </w:r>
      <w:r>
        <w:rPr>
          <w:rFonts w:ascii="Arial" w:hAnsi="Arial"/>
          <w:sz w:val="20"/>
          <w:szCs w:val="20"/>
        </w:rPr>
        <w:t>ompared with the EU countries. For example</w:t>
      </w:r>
      <w:r w:rsidR="004120CD">
        <w:rPr>
          <w:rFonts w:ascii="Arial" w:hAnsi="Arial"/>
          <w:sz w:val="20"/>
          <w:szCs w:val="20"/>
        </w:rPr>
        <w:t>,</w:t>
      </w:r>
      <w:r>
        <w:rPr>
          <w:rFonts w:ascii="Arial" w:hAnsi="Arial"/>
          <w:sz w:val="20"/>
          <w:szCs w:val="20"/>
        </w:rPr>
        <w:t xml:space="preserve"> in Republic of Macedonia in year 2010 it was 75 years while in the EU countries it was 80 years.</w:t>
      </w:r>
    </w:p>
    <w:p w:rsidR="009A3202" w:rsidRDefault="009A3202" w:rsidP="00C165E8">
      <w:pPr>
        <w:spacing w:after="0" w:line="240" w:lineRule="auto"/>
        <w:jc w:val="both"/>
        <w:rPr>
          <w:rFonts w:ascii="Arial" w:hAnsi="Arial"/>
          <w:sz w:val="20"/>
          <w:szCs w:val="20"/>
        </w:rPr>
      </w:pPr>
      <w:r>
        <w:rPr>
          <w:rFonts w:ascii="Arial" w:hAnsi="Arial"/>
          <w:sz w:val="20"/>
          <w:szCs w:val="20"/>
        </w:rPr>
        <w:t xml:space="preserve">In addition to that, Republic of Macedonia is on the last place in comparison with the EU countries measured by GDP per capita. Correlation ratio </w:t>
      </w:r>
      <w:r w:rsidR="004120CD">
        <w:rPr>
          <w:rFonts w:ascii="Arial" w:hAnsi="Arial"/>
          <w:sz w:val="20"/>
          <w:szCs w:val="20"/>
        </w:rPr>
        <w:t>between the average life expe</w:t>
      </w:r>
      <w:r w:rsidR="00021E20">
        <w:rPr>
          <w:rFonts w:ascii="Arial" w:hAnsi="Arial"/>
          <w:sz w:val="20"/>
          <w:szCs w:val="20"/>
        </w:rPr>
        <w:t>ctancy and GDP per capita in Republic of Macedonia is quite high (0,85), and the determination ratio is 75%. Correlation ratio between the average life expectancy and GDP per capita in the EU countries is quite high (0,90) and determination ratio is 81% (which shows high correlative dependence).</w:t>
      </w:r>
    </w:p>
    <w:p w:rsidR="00C73F58" w:rsidRDefault="00C73F58" w:rsidP="00C165E8">
      <w:pPr>
        <w:spacing w:after="0" w:line="240" w:lineRule="auto"/>
        <w:jc w:val="both"/>
        <w:rPr>
          <w:rFonts w:ascii="Arial" w:hAnsi="Arial"/>
          <w:sz w:val="20"/>
          <w:szCs w:val="20"/>
        </w:rPr>
      </w:pPr>
      <w:r>
        <w:rPr>
          <w:rFonts w:ascii="Arial" w:hAnsi="Arial"/>
          <w:sz w:val="20"/>
          <w:szCs w:val="20"/>
        </w:rPr>
        <w:t>Through these ratios is confirmed the opinion that better standard of living provides longer life.</w:t>
      </w:r>
    </w:p>
    <w:p w:rsidR="006A53E3" w:rsidRDefault="004120CD" w:rsidP="00C165E8">
      <w:pPr>
        <w:spacing w:after="0" w:line="240" w:lineRule="auto"/>
        <w:jc w:val="both"/>
        <w:rPr>
          <w:rFonts w:ascii="Arial" w:hAnsi="Arial"/>
          <w:sz w:val="20"/>
          <w:szCs w:val="20"/>
        </w:rPr>
      </w:pPr>
      <w:r>
        <w:rPr>
          <w:rFonts w:ascii="Arial" w:hAnsi="Arial"/>
          <w:sz w:val="20"/>
          <w:szCs w:val="20"/>
        </w:rPr>
        <w:t>In this work statis</w:t>
      </w:r>
      <w:r w:rsidR="00C73F58">
        <w:rPr>
          <w:rFonts w:ascii="Arial" w:hAnsi="Arial"/>
          <w:sz w:val="20"/>
          <w:szCs w:val="20"/>
        </w:rPr>
        <w:t>tical data is processed and shown, quantitative and in table and graphic displays.</w:t>
      </w:r>
    </w:p>
    <w:p w:rsidR="001A1F9A" w:rsidRDefault="001A1F9A" w:rsidP="00C73F58">
      <w:pPr>
        <w:spacing w:line="240" w:lineRule="auto"/>
        <w:rPr>
          <w:rFonts w:ascii="Arial" w:hAnsi="Arial"/>
          <w:sz w:val="20"/>
          <w:szCs w:val="20"/>
        </w:rPr>
      </w:pPr>
    </w:p>
    <w:p w:rsidR="00C165E8" w:rsidRDefault="00C165E8" w:rsidP="00C73F58">
      <w:pPr>
        <w:spacing w:line="240" w:lineRule="auto"/>
        <w:rPr>
          <w:rFonts w:ascii="Arial" w:hAnsi="Arial"/>
          <w:sz w:val="20"/>
          <w:szCs w:val="20"/>
        </w:rPr>
      </w:pPr>
    </w:p>
    <w:p w:rsidR="001A1F9A" w:rsidRDefault="001A1F9A" w:rsidP="00C73F58">
      <w:pPr>
        <w:spacing w:line="240" w:lineRule="auto"/>
        <w:rPr>
          <w:rFonts w:ascii="Arial" w:hAnsi="Arial"/>
          <w:sz w:val="20"/>
          <w:szCs w:val="20"/>
        </w:rPr>
      </w:pPr>
    </w:p>
    <w:p w:rsidR="00205143" w:rsidRDefault="00205143" w:rsidP="00C73F58">
      <w:pPr>
        <w:spacing w:line="240" w:lineRule="auto"/>
        <w:rPr>
          <w:rFonts w:ascii="Arial" w:hAnsi="Arial"/>
          <w:sz w:val="20"/>
          <w:szCs w:val="20"/>
        </w:rPr>
      </w:pPr>
    </w:p>
    <w:p w:rsidR="00C73F58" w:rsidRDefault="00C73F58" w:rsidP="004120CD">
      <w:pPr>
        <w:spacing w:line="240" w:lineRule="auto"/>
        <w:jc w:val="center"/>
        <w:rPr>
          <w:rFonts w:ascii="Arial" w:hAnsi="Arial"/>
          <w:b/>
          <w:sz w:val="20"/>
          <w:szCs w:val="20"/>
        </w:rPr>
      </w:pPr>
      <w:r w:rsidRPr="00C73F58">
        <w:rPr>
          <w:rFonts w:ascii="Arial" w:hAnsi="Arial"/>
          <w:b/>
          <w:sz w:val="20"/>
          <w:szCs w:val="20"/>
        </w:rPr>
        <w:lastRenderedPageBreak/>
        <w:t>Life expectancy of the population in the Republic of Macedonia and the EU countries</w:t>
      </w:r>
    </w:p>
    <w:p w:rsidR="00C73F58" w:rsidRDefault="00C73F58" w:rsidP="004120CD">
      <w:pPr>
        <w:spacing w:after="0" w:line="240" w:lineRule="auto"/>
        <w:jc w:val="both"/>
        <w:rPr>
          <w:rFonts w:ascii="Arial" w:hAnsi="Arial"/>
          <w:sz w:val="20"/>
          <w:szCs w:val="20"/>
        </w:rPr>
      </w:pPr>
      <w:r>
        <w:rPr>
          <w:rFonts w:ascii="Arial" w:hAnsi="Arial"/>
          <w:sz w:val="20"/>
          <w:szCs w:val="20"/>
        </w:rPr>
        <w:t>Life tim</w:t>
      </w:r>
      <w:r w:rsidR="007E518D">
        <w:rPr>
          <w:rFonts w:ascii="Arial" w:hAnsi="Arial"/>
          <w:sz w:val="20"/>
          <w:szCs w:val="20"/>
        </w:rPr>
        <w:t>e</w:t>
      </w:r>
      <w:r>
        <w:rPr>
          <w:rFonts w:ascii="Arial" w:hAnsi="Arial"/>
          <w:sz w:val="20"/>
          <w:szCs w:val="20"/>
        </w:rPr>
        <w:t xml:space="preserve"> of the human, seen from the aspect of the possibility to its influence, depends very much from the quality of living and the health care.</w:t>
      </w:r>
      <w:r w:rsidR="001A1F9A">
        <w:rPr>
          <w:rFonts w:ascii="Arial" w:hAnsi="Arial"/>
          <w:sz w:val="20"/>
          <w:szCs w:val="20"/>
        </w:rPr>
        <w:t xml:space="preserve"> </w:t>
      </w:r>
      <w:r>
        <w:rPr>
          <w:rFonts w:ascii="Arial" w:hAnsi="Arial"/>
          <w:sz w:val="20"/>
          <w:szCs w:val="20"/>
        </w:rPr>
        <w:t>That means decreasing mortality from different diseases that can be prevented and proporely treated. In certain aspects of the healthcare, Macedonia</w:t>
      </w:r>
      <w:r w:rsidR="00D4375C">
        <w:rPr>
          <w:rFonts w:ascii="Arial" w:hAnsi="Arial"/>
          <w:sz w:val="20"/>
          <w:szCs w:val="20"/>
        </w:rPr>
        <w:t>n citizens are less healthy than the average EU citizen</w:t>
      </w:r>
      <w:r w:rsidR="001A1F9A">
        <w:rPr>
          <w:rFonts w:ascii="Arial" w:hAnsi="Arial"/>
          <w:sz w:val="20"/>
          <w:szCs w:val="20"/>
        </w:rPr>
        <w:t>s</w:t>
      </w:r>
      <w:r w:rsidR="00D4375C">
        <w:rPr>
          <w:rFonts w:ascii="Arial" w:hAnsi="Arial"/>
          <w:sz w:val="20"/>
          <w:szCs w:val="20"/>
        </w:rPr>
        <w:t>.</w:t>
      </w:r>
    </w:p>
    <w:p w:rsidR="00D4375C" w:rsidRDefault="00D4375C" w:rsidP="004120CD">
      <w:pPr>
        <w:spacing w:after="0" w:line="240" w:lineRule="auto"/>
        <w:jc w:val="both"/>
        <w:rPr>
          <w:rFonts w:ascii="Arial" w:hAnsi="Arial"/>
          <w:sz w:val="20"/>
          <w:szCs w:val="20"/>
        </w:rPr>
      </w:pPr>
      <w:r>
        <w:rPr>
          <w:rFonts w:ascii="Arial" w:hAnsi="Arial"/>
          <w:sz w:val="20"/>
          <w:szCs w:val="20"/>
        </w:rPr>
        <w:t>Although it is difficult to compare the differences regarding diseases in different</w:t>
      </w:r>
      <w:r w:rsidR="0000650C">
        <w:rPr>
          <w:rFonts w:ascii="Arial" w:hAnsi="Arial"/>
          <w:sz w:val="20"/>
          <w:szCs w:val="20"/>
        </w:rPr>
        <w:t xml:space="preserve"> countries, the data can be established </w:t>
      </w:r>
      <w:r w:rsidR="001319B9">
        <w:rPr>
          <w:rFonts w:ascii="Arial" w:hAnsi="Arial"/>
          <w:sz w:val="20"/>
          <w:szCs w:val="20"/>
        </w:rPr>
        <w:t>by comparison of certain diseases.</w:t>
      </w:r>
      <w:r w:rsidR="001319B9">
        <w:rPr>
          <w:rStyle w:val="FootnoteReference"/>
          <w:rFonts w:ascii="Arial" w:hAnsi="Arial"/>
          <w:sz w:val="20"/>
          <w:szCs w:val="20"/>
        </w:rPr>
        <w:footnoteReference w:id="1"/>
      </w:r>
    </w:p>
    <w:p w:rsidR="007D7F5F" w:rsidRDefault="007D7F5F" w:rsidP="004120CD">
      <w:pPr>
        <w:spacing w:after="0" w:line="240" w:lineRule="auto"/>
        <w:jc w:val="both"/>
        <w:rPr>
          <w:rFonts w:ascii="Arial" w:hAnsi="Arial"/>
          <w:sz w:val="20"/>
          <w:szCs w:val="20"/>
        </w:rPr>
      </w:pPr>
      <w:r>
        <w:rPr>
          <w:rFonts w:ascii="Arial" w:hAnsi="Arial"/>
          <w:sz w:val="20"/>
          <w:szCs w:val="20"/>
        </w:rPr>
        <w:t>Regarding the total number of years that the average citizen can be expected to live (average life expectancy), this number is for five years lower in Macedonia than the average life expectancy in the EU countries where this number was</w:t>
      </w:r>
      <w:r w:rsidR="001A1F9A">
        <w:rPr>
          <w:rFonts w:ascii="Arial" w:hAnsi="Arial"/>
          <w:sz w:val="20"/>
          <w:szCs w:val="20"/>
        </w:rPr>
        <w:t>, 80 while in M</w:t>
      </w:r>
      <w:r>
        <w:rPr>
          <w:rFonts w:ascii="Arial" w:hAnsi="Arial"/>
          <w:sz w:val="20"/>
          <w:szCs w:val="20"/>
        </w:rPr>
        <w:t>acedonia was 75 years.</w:t>
      </w:r>
    </w:p>
    <w:p w:rsidR="00245665" w:rsidRDefault="00245665" w:rsidP="004120CD">
      <w:pPr>
        <w:spacing w:after="0" w:line="240" w:lineRule="auto"/>
        <w:jc w:val="both"/>
        <w:rPr>
          <w:rFonts w:ascii="Arial" w:hAnsi="Arial"/>
          <w:sz w:val="20"/>
          <w:szCs w:val="20"/>
        </w:rPr>
      </w:pPr>
      <w:r>
        <w:rPr>
          <w:rFonts w:ascii="Arial" w:hAnsi="Arial"/>
          <w:sz w:val="20"/>
          <w:szCs w:val="20"/>
        </w:rPr>
        <w:t>Likewise in most of the European countries</w:t>
      </w:r>
      <w:r w:rsidR="001A1F9A">
        <w:rPr>
          <w:rFonts w:ascii="Arial" w:hAnsi="Arial"/>
          <w:sz w:val="20"/>
          <w:szCs w:val="20"/>
        </w:rPr>
        <w:t>, me</w:t>
      </w:r>
      <w:r>
        <w:rPr>
          <w:rFonts w:ascii="Arial" w:hAnsi="Arial"/>
          <w:sz w:val="20"/>
          <w:szCs w:val="20"/>
        </w:rPr>
        <w:t>n in Republic of Macedonia live approximately five years less than the women.</w:t>
      </w:r>
    </w:p>
    <w:p w:rsidR="004A188C" w:rsidRDefault="004A188C" w:rsidP="004120CD">
      <w:pPr>
        <w:spacing w:after="0" w:line="240" w:lineRule="auto"/>
        <w:jc w:val="both"/>
        <w:rPr>
          <w:rFonts w:ascii="Arial" w:hAnsi="Arial"/>
          <w:sz w:val="20"/>
          <w:szCs w:val="20"/>
        </w:rPr>
      </w:pPr>
      <w:r>
        <w:rPr>
          <w:rFonts w:ascii="Arial" w:hAnsi="Arial"/>
          <w:sz w:val="20"/>
          <w:szCs w:val="20"/>
        </w:rPr>
        <w:t>Larger part of the differences</w:t>
      </w:r>
      <w:r w:rsidR="001A1F9A">
        <w:rPr>
          <w:rFonts w:ascii="Arial" w:hAnsi="Arial"/>
          <w:sz w:val="20"/>
          <w:szCs w:val="20"/>
        </w:rPr>
        <w:t xml:space="preserve"> in the life expectancy between</w:t>
      </w:r>
      <w:r>
        <w:rPr>
          <w:rFonts w:ascii="Arial" w:hAnsi="Arial"/>
          <w:sz w:val="20"/>
          <w:szCs w:val="20"/>
        </w:rPr>
        <w:t xml:space="preserve"> Republic of Macedonia and the EU countries are explained with the higher supremacy of cardiovascular diseases, partially caused by large tobacco use and from uncontrolled hypertension and hypercholesterolemia.</w:t>
      </w:r>
      <w:r>
        <w:rPr>
          <w:rStyle w:val="FootnoteReference"/>
          <w:rFonts w:ascii="Arial" w:hAnsi="Arial"/>
          <w:sz w:val="20"/>
          <w:szCs w:val="20"/>
        </w:rPr>
        <w:footnoteReference w:id="2"/>
      </w:r>
      <w:r>
        <w:rPr>
          <w:rFonts w:ascii="Arial" w:hAnsi="Arial"/>
          <w:sz w:val="20"/>
          <w:szCs w:val="20"/>
        </w:rPr>
        <w:t xml:space="preserve"> Another indicator that compares the life span </w:t>
      </w:r>
      <w:r w:rsidR="001A1F9A">
        <w:rPr>
          <w:rFonts w:ascii="Arial" w:hAnsi="Arial"/>
          <w:sz w:val="20"/>
          <w:szCs w:val="20"/>
        </w:rPr>
        <w:t>is</w:t>
      </w:r>
      <w:r>
        <w:rPr>
          <w:rFonts w:ascii="Arial" w:hAnsi="Arial"/>
          <w:sz w:val="20"/>
          <w:szCs w:val="20"/>
        </w:rPr>
        <w:t xml:space="preserve"> the “expected healthy life” meaning total number of years that one person can expect to live in good health</w:t>
      </w:r>
      <w:r w:rsidR="001A1F9A">
        <w:rPr>
          <w:rFonts w:ascii="Arial" w:hAnsi="Arial"/>
          <w:sz w:val="20"/>
          <w:szCs w:val="20"/>
        </w:rPr>
        <w:t xml:space="preserve"> </w:t>
      </w:r>
      <w:r>
        <w:rPr>
          <w:rFonts w:ascii="Arial" w:hAnsi="Arial"/>
          <w:sz w:val="20"/>
          <w:szCs w:val="20"/>
        </w:rPr>
        <w:t>- without disease or permanent disability.</w:t>
      </w:r>
    </w:p>
    <w:p w:rsidR="00F74D16" w:rsidRPr="00F74D16" w:rsidRDefault="00855958" w:rsidP="004120CD">
      <w:pPr>
        <w:spacing w:after="0" w:line="240" w:lineRule="auto"/>
        <w:jc w:val="both"/>
        <w:rPr>
          <w:rFonts w:ascii="Arial" w:hAnsi="Arial"/>
          <w:sz w:val="20"/>
          <w:szCs w:val="20"/>
        </w:rPr>
      </w:pPr>
      <w:r>
        <w:rPr>
          <w:rFonts w:ascii="Arial" w:hAnsi="Arial"/>
          <w:sz w:val="20"/>
          <w:szCs w:val="20"/>
        </w:rPr>
        <w:t>D</w:t>
      </w:r>
      <w:r w:rsidR="00F74D16" w:rsidRPr="00F74D16">
        <w:rPr>
          <w:rFonts w:ascii="Arial" w:hAnsi="Arial"/>
          <w:sz w:val="20"/>
          <w:szCs w:val="20"/>
        </w:rPr>
        <w:t>istribution of death</w:t>
      </w:r>
      <w:r>
        <w:rPr>
          <w:rFonts w:ascii="Arial" w:hAnsi="Arial"/>
          <w:sz w:val="20"/>
          <w:szCs w:val="20"/>
        </w:rPr>
        <w:t xml:space="preserve"> cases</w:t>
      </w:r>
      <w:r w:rsidR="00F74D16" w:rsidRPr="00F74D16">
        <w:rPr>
          <w:rFonts w:ascii="Arial" w:hAnsi="Arial"/>
          <w:sz w:val="20"/>
          <w:szCs w:val="20"/>
        </w:rPr>
        <w:t xml:space="preserve"> by age</w:t>
      </w:r>
      <w:r>
        <w:rPr>
          <w:rStyle w:val="FootnoteReference"/>
          <w:rFonts w:ascii="Arial" w:hAnsi="Arial"/>
          <w:sz w:val="20"/>
          <w:szCs w:val="20"/>
        </w:rPr>
        <w:footnoteReference w:id="3"/>
      </w:r>
      <w:r w:rsidR="00F74D16" w:rsidRPr="00F74D16">
        <w:rPr>
          <w:rFonts w:ascii="Arial" w:hAnsi="Arial"/>
          <w:sz w:val="20"/>
          <w:szCs w:val="20"/>
        </w:rPr>
        <w:t xml:space="preserve"> shows that most </w:t>
      </w:r>
      <w:r>
        <w:rPr>
          <w:rFonts w:ascii="Arial" w:hAnsi="Arial"/>
          <w:sz w:val="20"/>
          <w:szCs w:val="20"/>
        </w:rPr>
        <w:t>cases of</w:t>
      </w:r>
      <w:r w:rsidR="00F74D16" w:rsidRPr="00F74D16">
        <w:rPr>
          <w:rFonts w:ascii="Arial" w:hAnsi="Arial"/>
          <w:sz w:val="20"/>
          <w:szCs w:val="20"/>
        </w:rPr>
        <w:t xml:space="preserve"> death </w:t>
      </w:r>
      <w:r w:rsidR="001A1F9A">
        <w:rPr>
          <w:rFonts w:ascii="Arial" w:hAnsi="Arial"/>
          <w:sz w:val="20"/>
          <w:szCs w:val="20"/>
        </w:rPr>
        <w:t xml:space="preserve">or 43.6 %, </w:t>
      </w:r>
      <w:r>
        <w:rPr>
          <w:rFonts w:ascii="Arial" w:hAnsi="Arial"/>
          <w:sz w:val="20"/>
          <w:szCs w:val="20"/>
        </w:rPr>
        <w:t>appear</w:t>
      </w:r>
      <w:r w:rsidR="00F74D16" w:rsidRPr="00F74D16">
        <w:rPr>
          <w:rFonts w:ascii="Arial" w:hAnsi="Arial"/>
          <w:sz w:val="20"/>
          <w:szCs w:val="20"/>
        </w:rPr>
        <w:t xml:space="preserve"> in </w:t>
      </w:r>
      <w:r>
        <w:rPr>
          <w:rFonts w:ascii="Arial" w:hAnsi="Arial"/>
          <w:sz w:val="20"/>
          <w:szCs w:val="20"/>
        </w:rPr>
        <w:t xml:space="preserve">age groups of </w:t>
      </w:r>
      <w:r w:rsidR="00F74D16" w:rsidRPr="00F74D16">
        <w:rPr>
          <w:rFonts w:ascii="Arial" w:hAnsi="Arial"/>
          <w:sz w:val="20"/>
          <w:szCs w:val="20"/>
        </w:rPr>
        <w:t xml:space="preserve">75 years </w:t>
      </w:r>
      <w:r w:rsidR="001A1F9A">
        <w:rPr>
          <w:rFonts w:ascii="Arial" w:hAnsi="Arial"/>
          <w:sz w:val="20"/>
          <w:szCs w:val="20"/>
        </w:rPr>
        <w:t>old peo</w:t>
      </w:r>
      <w:r>
        <w:rPr>
          <w:rFonts w:ascii="Arial" w:hAnsi="Arial"/>
          <w:sz w:val="20"/>
          <w:szCs w:val="20"/>
        </w:rPr>
        <w:t>ple</w:t>
      </w:r>
      <w:r w:rsidR="001A1F9A">
        <w:rPr>
          <w:rFonts w:ascii="Arial" w:hAnsi="Arial"/>
          <w:sz w:val="20"/>
          <w:szCs w:val="20"/>
        </w:rPr>
        <w:t>.</w:t>
      </w:r>
      <w:r>
        <w:rPr>
          <w:rFonts w:ascii="Arial" w:hAnsi="Arial"/>
          <w:sz w:val="20"/>
          <w:szCs w:val="20"/>
        </w:rPr>
        <w:t xml:space="preserve"> Death cases in the </w:t>
      </w:r>
      <w:r w:rsidR="00F74D16" w:rsidRPr="00F74D16">
        <w:rPr>
          <w:rFonts w:ascii="Arial" w:hAnsi="Arial"/>
          <w:sz w:val="20"/>
          <w:szCs w:val="20"/>
        </w:rPr>
        <w:t>age</w:t>
      </w:r>
      <w:r>
        <w:rPr>
          <w:rFonts w:ascii="Arial" w:hAnsi="Arial"/>
          <w:sz w:val="20"/>
          <w:szCs w:val="20"/>
        </w:rPr>
        <w:t xml:space="preserve"> group of</w:t>
      </w:r>
      <w:r w:rsidR="00F74D16" w:rsidRPr="00F74D16">
        <w:rPr>
          <w:rFonts w:ascii="Arial" w:hAnsi="Arial"/>
          <w:sz w:val="20"/>
          <w:szCs w:val="20"/>
        </w:rPr>
        <w:t xml:space="preserve"> 65-74 years </w:t>
      </w:r>
      <w:r w:rsidR="001A1F9A">
        <w:rPr>
          <w:rFonts w:ascii="Arial" w:hAnsi="Arial"/>
          <w:sz w:val="20"/>
          <w:szCs w:val="20"/>
        </w:rPr>
        <w:t>old peo</w:t>
      </w:r>
      <w:r>
        <w:rPr>
          <w:rFonts w:ascii="Arial" w:hAnsi="Arial"/>
          <w:sz w:val="20"/>
          <w:szCs w:val="20"/>
        </w:rPr>
        <w:t xml:space="preserve">ple </w:t>
      </w:r>
      <w:r w:rsidR="00F74D16" w:rsidRPr="00F74D16">
        <w:rPr>
          <w:rFonts w:ascii="Arial" w:hAnsi="Arial"/>
          <w:sz w:val="20"/>
          <w:szCs w:val="20"/>
        </w:rPr>
        <w:t>cont</w:t>
      </w:r>
      <w:r>
        <w:rPr>
          <w:rFonts w:ascii="Arial" w:hAnsi="Arial"/>
          <w:sz w:val="20"/>
          <w:szCs w:val="20"/>
        </w:rPr>
        <w:t>ains</w:t>
      </w:r>
      <w:r w:rsidR="001A1F9A">
        <w:rPr>
          <w:rFonts w:ascii="Arial" w:hAnsi="Arial"/>
          <w:sz w:val="20"/>
          <w:szCs w:val="20"/>
        </w:rPr>
        <w:t xml:space="preserve"> 28</w:t>
      </w:r>
      <w:r w:rsidR="00F74D16" w:rsidRPr="00F74D16">
        <w:rPr>
          <w:rFonts w:ascii="Arial" w:hAnsi="Arial"/>
          <w:sz w:val="20"/>
          <w:szCs w:val="20"/>
        </w:rPr>
        <w:t>%</w:t>
      </w:r>
      <w:r>
        <w:rPr>
          <w:rFonts w:ascii="Arial" w:hAnsi="Arial"/>
          <w:sz w:val="20"/>
          <w:szCs w:val="20"/>
        </w:rPr>
        <w:t>, while in the group of</w:t>
      </w:r>
      <w:r w:rsidR="00F74D16" w:rsidRPr="00F74D16">
        <w:rPr>
          <w:rFonts w:ascii="Arial" w:hAnsi="Arial"/>
          <w:sz w:val="20"/>
          <w:szCs w:val="20"/>
        </w:rPr>
        <w:t xml:space="preserve"> 55-64 years</w:t>
      </w:r>
      <w:r w:rsidR="001A1F9A">
        <w:rPr>
          <w:rFonts w:ascii="Arial" w:hAnsi="Arial"/>
          <w:sz w:val="20"/>
          <w:szCs w:val="20"/>
        </w:rPr>
        <w:t xml:space="preserve"> old peo</w:t>
      </w:r>
      <w:r>
        <w:rPr>
          <w:rFonts w:ascii="Arial" w:hAnsi="Arial"/>
          <w:sz w:val="20"/>
          <w:szCs w:val="20"/>
        </w:rPr>
        <w:t xml:space="preserve">ple contains </w:t>
      </w:r>
      <w:r w:rsidR="001A1F9A">
        <w:rPr>
          <w:rFonts w:ascii="Arial" w:hAnsi="Arial"/>
          <w:sz w:val="20"/>
          <w:szCs w:val="20"/>
        </w:rPr>
        <w:t>13.4 %</w:t>
      </w:r>
      <w:r w:rsidR="00F74D16" w:rsidRPr="00F74D16">
        <w:rPr>
          <w:rFonts w:ascii="Arial" w:hAnsi="Arial"/>
          <w:sz w:val="20"/>
          <w:szCs w:val="20"/>
        </w:rPr>
        <w:t>.</w:t>
      </w:r>
    </w:p>
    <w:p w:rsidR="00BA3698" w:rsidRDefault="001618F2" w:rsidP="004120CD">
      <w:pPr>
        <w:spacing w:after="0" w:line="240" w:lineRule="auto"/>
        <w:jc w:val="both"/>
        <w:rPr>
          <w:rFonts w:ascii="Arial" w:hAnsi="Arial"/>
          <w:sz w:val="20"/>
          <w:szCs w:val="20"/>
        </w:rPr>
      </w:pPr>
      <w:r>
        <w:rPr>
          <w:rFonts w:ascii="Arial" w:hAnsi="Arial"/>
          <w:sz w:val="20"/>
          <w:szCs w:val="20"/>
        </w:rPr>
        <w:t>Circular</w:t>
      </w:r>
      <w:r w:rsidR="00F74D16" w:rsidRPr="00F74D16">
        <w:rPr>
          <w:rFonts w:ascii="Arial" w:hAnsi="Arial"/>
          <w:sz w:val="20"/>
          <w:szCs w:val="20"/>
        </w:rPr>
        <w:t xml:space="preserve"> diseases are leading </w:t>
      </w:r>
      <w:r>
        <w:rPr>
          <w:rFonts w:ascii="Arial" w:hAnsi="Arial"/>
          <w:sz w:val="20"/>
          <w:szCs w:val="20"/>
        </w:rPr>
        <w:t>reason</w:t>
      </w:r>
      <w:r w:rsidR="00F74D16" w:rsidRPr="00F74D16">
        <w:rPr>
          <w:rFonts w:ascii="Arial" w:hAnsi="Arial"/>
          <w:sz w:val="20"/>
          <w:szCs w:val="20"/>
        </w:rPr>
        <w:t xml:space="preserve"> </w:t>
      </w:r>
      <w:r>
        <w:rPr>
          <w:rFonts w:ascii="Arial" w:hAnsi="Arial"/>
          <w:sz w:val="20"/>
          <w:szCs w:val="20"/>
        </w:rPr>
        <w:t>for</w:t>
      </w:r>
      <w:r w:rsidR="00F74D16" w:rsidRPr="00F74D16">
        <w:rPr>
          <w:rFonts w:ascii="Arial" w:hAnsi="Arial"/>
          <w:sz w:val="20"/>
          <w:szCs w:val="20"/>
        </w:rPr>
        <w:t xml:space="preserve"> death in </w:t>
      </w:r>
      <w:r>
        <w:rPr>
          <w:rFonts w:ascii="Arial" w:hAnsi="Arial"/>
          <w:sz w:val="20"/>
          <w:szCs w:val="20"/>
        </w:rPr>
        <w:t>Republic of Macedonia</w:t>
      </w:r>
      <w:r w:rsidR="00F74D16" w:rsidRPr="00F74D16">
        <w:rPr>
          <w:rFonts w:ascii="Arial" w:hAnsi="Arial"/>
          <w:sz w:val="20"/>
          <w:szCs w:val="20"/>
        </w:rPr>
        <w:t xml:space="preserve">, </w:t>
      </w:r>
      <w:r>
        <w:rPr>
          <w:rFonts w:ascii="Arial" w:hAnsi="Arial"/>
          <w:sz w:val="20"/>
          <w:szCs w:val="20"/>
        </w:rPr>
        <w:t>contain</w:t>
      </w:r>
      <w:r w:rsidR="00614CE7">
        <w:rPr>
          <w:rFonts w:ascii="Arial" w:hAnsi="Arial"/>
          <w:sz w:val="20"/>
          <w:szCs w:val="20"/>
        </w:rPr>
        <w:t>ing almost</w:t>
      </w:r>
      <w:r w:rsidR="001A1F9A">
        <w:rPr>
          <w:rFonts w:ascii="Arial" w:hAnsi="Arial"/>
          <w:sz w:val="20"/>
          <w:szCs w:val="20"/>
        </w:rPr>
        <w:t xml:space="preserve"> 57</w:t>
      </w:r>
      <w:r w:rsidR="00F74D16" w:rsidRPr="00F74D16">
        <w:rPr>
          <w:rFonts w:ascii="Arial" w:hAnsi="Arial"/>
          <w:sz w:val="20"/>
          <w:szCs w:val="20"/>
        </w:rPr>
        <w:t xml:space="preserve">% </w:t>
      </w:r>
      <w:r w:rsidR="00614CE7">
        <w:rPr>
          <w:rFonts w:ascii="Arial" w:hAnsi="Arial"/>
          <w:sz w:val="20"/>
          <w:szCs w:val="20"/>
        </w:rPr>
        <w:t>from the number</w:t>
      </w:r>
      <w:r w:rsidR="00F74D16" w:rsidRPr="00F74D16">
        <w:rPr>
          <w:rFonts w:ascii="Arial" w:hAnsi="Arial"/>
          <w:sz w:val="20"/>
          <w:szCs w:val="20"/>
        </w:rPr>
        <w:t xml:space="preserve"> of death</w:t>
      </w:r>
      <w:r w:rsidR="00614CE7">
        <w:rPr>
          <w:rFonts w:ascii="Arial" w:hAnsi="Arial"/>
          <w:sz w:val="20"/>
          <w:szCs w:val="20"/>
        </w:rPr>
        <w:t xml:space="preserve"> cases</w:t>
      </w:r>
      <w:r w:rsidR="00F74D16" w:rsidRPr="00F74D16">
        <w:rPr>
          <w:rFonts w:ascii="Arial" w:hAnsi="Arial"/>
          <w:sz w:val="20"/>
          <w:szCs w:val="20"/>
        </w:rPr>
        <w:t xml:space="preserve">. </w:t>
      </w:r>
      <w:r w:rsidR="00614CE7">
        <w:rPr>
          <w:rFonts w:ascii="Arial" w:hAnsi="Arial"/>
          <w:sz w:val="20"/>
          <w:szCs w:val="20"/>
        </w:rPr>
        <w:t>Brain stroke is the most significant disease in this group</w:t>
      </w:r>
      <w:r w:rsidR="00614CE7">
        <w:rPr>
          <w:rStyle w:val="FootnoteReference"/>
          <w:rFonts w:ascii="Arial" w:hAnsi="Arial"/>
          <w:sz w:val="20"/>
          <w:szCs w:val="20"/>
        </w:rPr>
        <w:footnoteReference w:id="4"/>
      </w:r>
      <w:r w:rsidR="00F74D16" w:rsidRPr="00F74D16">
        <w:rPr>
          <w:rFonts w:ascii="Arial" w:hAnsi="Arial"/>
          <w:sz w:val="20"/>
          <w:szCs w:val="20"/>
        </w:rPr>
        <w:t>.</w:t>
      </w:r>
      <w:r w:rsidR="00614CE7">
        <w:rPr>
          <w:rFonts w:ascii="Arial" w:hAnsi="Arial"/>
          <w:sz w:val="20"/>
          <w:szCs w:val="20"/>
        </w:rPr>
        <w:t xml:space="preserve"> </w:t>
      </w:r>
    </w:p>
    <w:p w:rsidR="00F74D16" w:rsidRPr="00F74D16" w:rsidRDefault="00614CE7" w:rsidP="004120CD">
      <w:pPr>
        <w:spacing w:after="0" w:line="240" w:lineRule="auto"/>
        <w:jc w:val="both"/>
        <w:rPr>
          <w:rFonts w:ascii="Arial" w:hAnsi="Arial"/>
          <w:sz w:val="20"/>
          <w:szCs w:val="20"/>
        </w:rPr>
      </w:pPr>
      <w:r>
        <w:rPr>
          <w:rFonts w:ascii="Arial" w:hAnsi="Arial"/>
          <w:sz w:val="20"/>
          <w:szCs w:val="20"/>
        </w:rPr>
        <w:t>Good health and welfare require</w:t>
      </w:r>
      <w:r w:rsidR="00F74D16" w:rsidRPr="00F74D16">
        <w:rPr>
          <w:rFonts w:ascii="Arial" w:hAnsi="Arial"/>
          <w:sz w:val="20"/>
          <w:szCs w:val="20"/>
        </w:rPr>
        <w:t xml:space="preserve"> clean environment </w:t>
      </w:r>
      <w:r>
        <w:rPr>
          <w:rFonts w:ascii="Arial" w:hAnsi="Arial"/>
          <w:sz w:val="20"/>
          <w:szCs w:val="20"/>
        </w:rPr>
        <w:t>in which physical, physiological</w:t>
      </w:r>
      <w:r w:rsidR="00F74D16" w:rsidRPr="00F74D16">
        <w:rPr>
          <w:rFonts w:ascii="Arial" w:hAnsi="Arial"/>
          <w:sz w:val="20"/>
          <w:szCs w:val="20"/>
        </w:rPr>
        <w:t xml:space="preserve">, social and aesthetic factors </w:t>
      </w:r>
      <w:r>
        <w:rPr>
          <w:rFonts w:ascii="Arial" w:hAnsi="Arial"/>
          <w:sz w:val="20"/>
          <w:szCs w:val="20"/>
        </w:rPr>
        <w:t xml:space="preserve">have huge </w:t>
      </w:r>
      <w:r w:rsidR="00F74D16" w:rsidRPr="00F74D16">
        <w:rPr>
          <w:rFonts w:ascii="Arial" w:hAnsi="Arial"/>
          <w:sz w:val="20"/>
          <w:szCs w:val="20"/>
        </w:rPr>
        <w:t>importan</w:t>
      </w:r>
      <w:r>
        <w:rPr>
          <w:rFonts w:ascii="Arial" w:hAnsi="Arial"/>
          <w:sz w:val="20"/>
          <w:szCs w:val="20"/>
        </w:rPr>
        <w:t>ce</w:t>
      </w:r>
      <w:r w:rsidR="00F74D16" w:rsidRPr="00F74D16">
        <w:rPr>
          <w:rFonts w:ascii="Arial" w:hAnsi="Arial"/>
          <w:sz w:val="20"/>
          <w:szCs w:val="20"/>
        </w:rPr>
        <w:t>. Human health depends on availability and quali</w:t>
      </w:r>
      <w:r w:rsidR="00BA3698">
        <w:rPr>
          <w:rFonts w:ascii="Arial" w:hAnsi="Arial"/>
          <w:sz w:val="20"/>
          <w:szCs w:val="20"/>
        </w:rPr>
        <w:t>ty of food</w:t>
      </w:r>
      <w:r>
        <w:rPr>
          <w:rFonts w:ascii="Arial" w:hAnsi="Arial"/>
          <w:sz w:val="20"/>
          <w:szCs w:val="20"/>
        </w:rPr>
        <w:t>, water, air and home</w:t>
      </w:r>
      <w:r w:rsidR="00F74D16" w:rsidRPr="00F74D16">
        <w:rPr>
          <w:rFonts w:ascii="Arial" w:hAnsi="Arial"/>
          <w:sz w:val="20"/>
          <w:szCs w:val="20"/>
        </w:rPr>
        <w:t>.</w:t>
      </w:r>
      <w:r>
        <w:rPr>
          <w:rFonts w:ascii="Arial" w:hAnsi="Arial"/>
          <w:sz w:val="20"/>
          <w:szCs w:val="20"/>
        </w:rPr>
        <w:t xml:space="preserve"> </w:t>
      </w:r>
      <w:r w:rsidR="00F74D16" w:rsidRPr="00F74D16">
        <w:rPr>
          <w:rFonts w:ascii="Arial" w:hAnsi="Arial"/>
          <w:sz w:val="20"/>
          <w:szCs w:val="20"/>
        </w:rPr>
        <w:t>Although the impact of the physical environment is known</w:t>
      </w:r>
      <w:r>
        <w:rPr>
          <w:rFonts w:ascii="Arial" w:hAnsi="Arial"/>
          <w:sz w:val="20"/>
          <w:szCs w:val="20"/>
        </w:rPr>
        <w:t xml:space="preserve"> for a longer period of time</w:t>
      </w:r>
      <w:r w:rsidR="00F74D16" w:rsidRPr="00F74D16">
        <w:rPr>
          <w:rFonts w:ascii="Arial" w:hAnsi="Arial"/>
          <w:sz w:val="20"/>
          <w:szCs w:val="20"/>
        </w:rPr>
        <w:t xml:space="preserve">, the </w:t>
      </w:r>
      <w:r>
        <w:rPr>
          <w:rFonts w:ascii="Arial" w:hAnsi="Arial"/>
          <w:sz w:val="20"/>
          <w:szCs w:val="20"/>
        </w:rPr>
        <w:t>topic in stil</w:t>
      </w:r>
      <w:r w:rsidR="00BA3698">
        <w:rPr>
          <w:rFonts w:ascii="Arial" w:hAnsi="Arial"/>
          <w:sz w:val="20"/>
          <w:szCs w:val="20"/>
        </w:rPr>
        <w:t xml:space="preserve">l ongoing since new scientific </w:t>
      </w:r>
      <w:r w:rsidR="00675232">
        <w:rPr>
          <w:rFonts w:ascii="Arial" w:hAnsi="Arial"/>
          <w:sz w:val="20"/>
          <w:szCs w:val="20"/>
        </w:rPr>
        <w:t>proof</w:t>
      </w:r>
      <w:r w:rsidR="00BA3698">
        <w:rPr>
          <w:rFonts w:ascii="Arial" w:hAnsi="Arial"/>
          <w:sz w:val="20"/>
          <w:szCs w:val="20"/>
        </w:rPr>
        <w:t>s</w:t>
      </w:r>
      <w:r w:rsidR="00675232">
        <w:rPr>
          <w:rFonts w:ascii="Arial" w:hAnsi="Arial"/>
          <w:sz w:val="20"/>
          <w:szCs w:val="20"/>
        </w:rPr>
        <w:t xml:space="preserve"> have shown the link between the environment and health</w:t>
      </w:r>
      <w:r w:rsidR="00F74D16" w:rsidRPr="00F74D16">
        <w:rPr>
          <w:rFonts w:ascii="Arial" w:hAnsi="Arial"/>
          <w:sz w:val="20"/>
          <w:szCs w:val="20"/>
        </w:rPr>
        <w:t xml:space="preserve">. </w:t>
      </w:r>
      <w:r w:rsidR="00675232">
        <w:rPr>
          <w:rFonts w:ascii="Arial" w:hAnsi="Arial"/>
          <w:sz w:val="20"/>
          <w:szCs w:val="20"/>
        </w:rPr>
        <w:t>More</w:t>
      </w:r>
      <w:r w:rsidR="00F74D16" w:rsidRPr="00F74D16">
        <w:rPr>
          <w:rFonts w:ascii="Arial" w:hAnsi="Arial"/>
          <w:sz w:val="20"/>
          <w:szCs w:val="20"/>
        </w:rPr>
        <w:t xml:space="preserve"> studies show that risks from the environment </w:t>
      </w:r>
      <w:r w:rsidR="00675232">
        <w:rPr>
          <w:rFonts w:ascii="Arial" w:hAnsi="Arial"/>
          <w:sz w:val="20"/>
          <w:szCs w:val="20"/>
        </w:rPr>
        <w:t>contain</w:t>
      </w:r>
      <w:r w:rsidR="00F74D16" w:rsidRPr="00F74D16">
        <w:rPr>
          <w:rFonts w:ascii="Arial" w:hAnsi="Arial"/>
          <w:sz w:val="20"/>
          <w:szCs w:val="20"/>
        </w:rPr>
        <w:t xml:space="preserve"> 25-35 % </w:t>
      </w:r>
      <w:r w:rsidR="00675232">
        <w:rPr>
          <w:rFonts w:ascii="Arial" w:hAnsi="Arial"/>
          <w:sz w:val="20"/>
          <w:szCs w:val="20"/>
        </w:rPr>
        <w:t>in</w:t>
      </w:r>
      <w:r w:rsidR="00F74D16" w:rsidRPr="00F74D16">
        <w:rPr>
          <w:rFonts w:ascii="Arial" w:hAnsi="Arial"/>
          <w:sz w:val="20"/>
          <w:szCs w:val="20"/>
        </w:rPr>
        <w:t xml:space="preserve"> the</w:t>
      </w:r>
      <w:r w:rsidR="00675232">
        <w:rPr>
          <w:rFonts w:ascii="Arial" w:hAnsi="Arial"/>
          <w:sz w:val="20"/>
          <w:szCs w:val="20"/>
        </w:rPr>
        <w:t xml:space="preserve"> total diseases on a global scale</w:t>
      </w:r>
      <w:r w:rsidR="00675232">
        <w:rPr>
          <w:rStyle w:val="FootnoteReference"/>
          <w:rFonts w:ascii="Arial" w:hAnsi="Arial"/>
          <w:sz w:val="20"/>
          <w:szCs w:val="20"/>
        </w:rPr>
        <w:footnoteReference w:id="5"/>
      </w:r>
      <w:r w:rsidR="00675232">
        <w:rPr>
          <w:rFonts w:ascii="Arial" w:hAnsi="Arial"/>
          <w:sz w:val="20"/>
          <w:szCs w:val="20"/>
        </w:rPr>
        <w:t xml:space="preserve">. </w:t>
      </w:r>
      <w:r w:rsidR="00F74D16" w:rsidRPr="00F74D16">
        <w:rPr>
          <w:rFonts w:ascii="Arial" w:hAnsi="Arial"/>
          <w:sz w:val="20"/>
          <w:szCs w:val="20"/>
        </w:rPr>
        <w:t xml:space="preserve"> Health statistics is insufficient</w:t>
      </w:r>
      <w:r w:rsidR="00EB74C1">
        <w:rPr>
          <w:rFonts w:ascii="Arial" w:hAnsi="Arial"/>
          <w:sz w:val="20"/>
          <w:szCs w:val="20"/>
        </w:rPr>
        <w:t xml:space="preserve"> with</w:t>
      </w:r>
      <w:r w:rsidR="00F74D16" w:rsidRPr="00F74D16">
        <w:rPr>
          <w:rFonts w:ascii="Arial" w:hAnsi="Arial"/>
          <w:sz w:val="20"/>
          <w:szCs w:val="20"/>
        </w:rPr>
        <w:t xml:space="preserve"> data</w:t>
      </w:r>
      <w:r w:rsidR="00EB74C1">
        <w:rPr>
          <w:rFonts w:ascii="Arial" w:hAnsi="Arial"/>
          <w:sz w:val="20"/>
          <w:szCs w:val="20"/>
        </w:rPr>
        <w:t xml:space="preserve"> that would show different lifestyles</w:t>
      </w:r>
      <w:r w:rsidR="00F74D16" w:rsidRPr="00F74D16">
        <w:rPr>
          <w:rFonts w:ascii="Arial" w:hAnsi="Arial"/>
          <w:sz w:val="20"/>
          <w:szCs w:val="20"/>
        </w:rPr>
        <w:t xml:space="preserve">. </w:t>
      </w:r>
      <w:r w:rsidR="00BA3698">
        <w:rPr>
          <w:rFonts w:ascii="Arial" w:hAnsi="Arial"/>
          <w:sz w:val="20"/>
          <w:szCs w:val="20"/>
        </w:rPr>
        <w:t xml:space="preserve">In </w:t>
      </w:r>
      <w:r w:rsidR="00F74D16" w:rsidRPr="00F74D16">
        <w:rPr>
          <w:rFonts w:ascii="Arial" w:hAnsi="Arial"/>
          <w:sz w:val="20"/>
          <w:szCs w:val="20"/>
        </w:rPr>
        <w:t xml:space="preserve">Republic of Macedonia </w:t>
      </w:r>
      <w:r w:rsidR="00BA3698">
        <w:rPr>
          <w:rFonts w:ascii="Arial" w:hAnsi="Arial"/>
          <w:sz w:val="20"/>
          <w:szCs w:val="20"/>
        </w:rPr>
        <w:t xml:space="preserve">are made </w:t>
      </w:r>
      <w:r w:rsidR="00EB74C1">
        <w:rPr>
          <w:rFonts w:ascii="Arial" w:hAnsi="Arial"/>
          <w:sz w:val="20"/>
          <w:szCs w:val="20"/>
        </w:rPr>
        <w:t xml:space="preserve">a few researches </w:t>
      </w:r>
      <w:r w:rsidR="00BA3698">
        <w:rPr>
          <w:rFonts w:ascii="Arial" w:hAnsi="Arial"/>
          <w:sz w:val="20"/>
          <w:szCs w:val="20"/>
        </w:rPr>
        <w:t>about</w:t>
      </w:r>
      <w:r w:rsidR="00EB74C1">
        <w:rPr>
          <w:rFonts w:ascii="Arial" w:hAnsi="Arial"/>
          <w:sz w:val="20"/>
          <w:szCs w:val="20"/>
        </w:rPr>
        <w:t xml:space="preserve"> smoking habits of the population</w:t>
      </w:r>
      <w:r w:rsidR="00F74D16" w:rsidRPr="00F74D16">
        <w:rPr>
          <w:rFonts w:ascii="Arial" w:hAnsi="Arial"/>
          <w:sz w:val="20"/>
          <w:szCs w:val="20"/>
        </w:rPr>
        <w:t xml:space="preserve">. </w:t>
      </w:r>
      <w:r w:rsidR="00BA3698">
        <w:rPr>
          <w:rFonts w:ascii="Arial" w:hAnsi="Arial"/>
          <w:sz w:val="20"/>
          <w:szCs w:val="20"/>
        </w:rPr>
        <w:t>They have shown</w:t>
      </w:r>
      <w:r w:rsidR="00F74D16" w:rsidRPr="00F74D16">
        <w:rPr>
          <w:rFonts w:ascii="Arial" w:hAnsi="Arial"/>
          <w:sz w:val="20"/>
          <w:szCs w:val="20"/>
        </w:rPr>
        <w:t xml:space="preserve"> a connection between smoking and age</w:t>
      </w:r>
      <w:r w:rsidR="00BA3698">
        <w:rPr>
          <w:rFonts w:ascii="Arial" w:hAnsi="Arial"/>
          <w:sz w:val="20"/>
          <w:szCs w:val="20"/>
        </w:rPr>
        <w:t>,</w:t>
      </w:r>
      <w:r w:rsidR="00F74D16" w:rsidRPr="00F74D16">
        <w:rPr>
          <w:rFonts w:ascii="Arial" w:hAnsi="Arial"/>
          <w:sz w:val="20"/>
          <w:szCs w:val="20"/>
        </w:rPr>
        <w:t xml:space="preserve"> but not </w:t>
      </w:r>
      <w:r w:rsidR="00EB74C1">
        <w:rPr>
          <w:rFonts w:ascii="Arial" w:hAnsi="Arial"/>
          <w:sz w:val="20"/>
          <w:szCs w:val="20"/>
        </w:rPr>
        <w:t>a connection with the educational level</w:t>
      </w:r>
      <w:r w:rsidR="00EB74C1">
        <w:rPr>
          <w:rStyle w:val="FootnoteReference"/>
          <w:rFonts w:ascii="Arial" w:hAnsi="Arial"/>
          <w:sz w:val="20"/>
          <w:szCs w:val="20"/>
        </w:rPr>
        <w:footnoteReference w:id="6"/>
      </w:r>
      <w:r w:rsidR="00F74D16" w:rsidRPr="00F74D16">
        <w:rPr>
          <w:rFonts w:ascii="Arial" w:hAnsi="Arial"/>
          <w:sz w:val="20"/>
          <w:szCs w:val="20"/>
        </w:rPr>
        <w:t>.</w:t>
      </w:r>
    </w:p>
    <w:p w:rsidR="00F74D16" w:rsidRPr="00F74D16" w:rsidRDefault="00942B30" w:rsidP="004120CD">
      <w:pPr>
        <w:spacing w:after="0" w:line="240" w:lineRule="auto"/>
        <w:jc w:val="both"/>
        <w:rPr>
          <w:rFonts w:ascii="Arial" w:hAnsi="Arial"/>
          <w:sz w:val="20"/>
          <w:szCs w:val="20"/>
        </w:rPr>
      </w:pPr>
      <w:r>
        <w:rPr>
          <w:rFonts w:ascii="Arial" w:hAnsi="Arial"/>
          <w:sz w:val="20"/>
          <w:szCs w:val="20"/>
        </w:rPr>
        <w:t>The g</w:t>
      </w:r>
      <w:r w:rsidR="00F74D16" w:rsidRPr="00F74D16">
        <w:rPr>
          <w:rFonts w:ascii="Arial" w:hAnsi="Arial"/>
          <w:sz w:val="20"/>
          <w:szCs w:val="20"/>
        </w:rPr>
        <w:t>overnment in 2006 a</w:t>
      </w:r>
      <w:r>
        <w:rPr>
          <w:rFonts w:ascii="Arial" w:hAnsi="Arial"/>
          <w:sz w:val="20"/>
          <w:szCs w:val="20"/>
        </w:rPr>
        <w:t>pprov</w:t>
      </w:r>
      <w:r w:rsidR="00F74D16" w:rsidRPr="00F74D16">
        <w:rPr>
          <w:rFonts w:ascii="Arial" w:hAnsi="Arial"/>
          <w:sz w:val="20"/>
          <w:szCs w:val="20"/>
        </w:rPr>
        <w:t xml:space="preserve">ed </w:t>
      </w:r>
      <w:r>
        <w:rPr>
          <w:rFonts w:ascii="Arial" w:hAnsi="Arial"/>
          <w:sz w:val="20"/>
          <w:szCs w:val="20"/>
        </w:rPr>
        <w:t>the</w:t>
      </w:r>
      <w:r w:rsidR="00F74D16" w:rsidRPr="00F74D16">
        <w:rPr>
          <w:rFonts w:ascii="Arial" w:hAnsi="Arial"/>
          <w:sz w:val="20"/>
          <w:szCs w:val="20"/>
        </w:rPr>
        <w:t xml:space="preserve"> </w:t>
      </w:r>
      <w:r>
        <w:rPr>
          <w:rFonts w:ascii="Arial" w:hAnsi="Arial"/>
          <w:sz w:val="20"/>
          <w:szCs w:val="20"/>
        </w:rPr>
        <w:t>S</w:t>
      </w:r>
      <w:r w:rsidR="00F74D16" w:rsidRPr="00F74D16">
        <w:rPr>
          <w:rFonts w:ascii="Arial" w:hAnsi="Arial"/>
          <w:sz w:val="20"/>
          <w:szCs w:val="20"/>
        </w:rPr>
        <w:t xml:space="preserve">trategy </w:t>
      </w:r>
      <w:r>
        <w:rPr>
          <w:rFonts w:ascii="Arial" w:hAnsi="Arial"/>
          <w:sz w:val="20"/>
          <w:szCs w:val="20"/>
        </w:rPr>
        <w:t>for</w:t>
      </w:r>
      <w:r w:rsidR="00F74D16" w:rsidRPr="00F74D16">
        <w:rPr>
          <w:rFonts w:ascii="Arial" w:hAnsi="Arial"/>
          <w:sz w:val="20"/>
          <w:szCs w:val="20"/>
        </w:rPr>
        <w:t xml:space="preserve"> </w:t>
      </w:r>
      <w:r>
        <w:rPr>
          <w:rFonts w:ascii="Arial" w:hAnsi="Arial"/>
          <w:sz w:val="20"/>
          <w:szCs w:val="20"/>
        </w:rPr>
        <w:t>battle</w:t>
      </w:r>
      <w:r w:rsidR="00F74D16" w:rsidRPr="00F74D16">
        <w:rPr>
          <w:rFonts w:ascii="Arial" w:hAnsi="Arial"/>
          <w:sz w:val="20"/>
          <w:szCs w:val="20"/>
        </w:rPr>
        <w:t xml:space="preserve"> </w:t>
      </w:r>
      <w:r>
        <w:rPr>
          <w:rFonts w:ascii="Arial" w:hAnsi="Arial"/>
          <w:sz w:val="20"/>
          <w:szCs w:val="20"/>
        </w:rPr>
        <w:t xml:space="preserve">against smoking and on </w:t>
      </w:r>
      <w:r w:rsidR="00F74D16" w:rsidRPr="00F74D16">
        <w:rPr>
          <w:rFonts w:ascii="Arial" w:hAnsi="Arial"/>
          <w:sz w:val="20"/>
          <w:szCs w:val="20"/>
        </w:rPr>
        <w:t>16</w:t>
      </w:r>
      <w:r>
        <w:rPr>
          <w:rFonts w:ascii="Arial" w:hAnsi="Arial"/>
          <w:sz w:val="20"/>
          <w:szCs w:val="20"/>
          <w:vertAlign w:val="superscript"/>
        </w:rPr>
        <w:t>th</w:t>
      </w:r>
      <w:r w:rsidR="00F74D16" w:rsidRPr="00F74D16">
        <w:rPr>
          <w:rFonts w:ascii="Arial" w:hAnsi="Arial"/>
          <w:sz w:val="20"/>
          <w:szCs w:val="20"/>
        </w:rPr>
        <w:t xml:space="preserve"> September 2006 </w:t>
      </w:r>
      <w:r w:rsidR="00BB00A7">
        <w:rPr>
          <w:rFonts w:ascii="Arial" w:hAnsi="Arial"/>
          <w:sz w:val="20"/>
          <w:szCs w:val="20"/>
        </w:rPr>
        <w:t>has ratified the C</w:t>
      </w:r>
      <w:r>
        <w:rPr>
          <w:rFonts w:ascii="Arial" w:hAnsi="Arial"/>
          <w:sz w:val="20"/>
          <w:szCs w:val="20"/>
        </w:rPr>
        <w:t>onvention for control of smoking</w:t>
      </w:r>
      <w:r w:rsidR="00F74D16" w:rsidRPr="00F74D16">
        <w:rPr>
          <w:rFonts w:ascii="Arial" w:hAnsi="Arial"/>
          <w:sz w:val="20"/>
          <w:szCs w:val="20"/>
        </w:rPr>
        <w:t xml:space="preserve"> </w:t>
      </w:r>
      <w:r>
        <w:rPr>
          <w:rFonts w:ascii="Arial" w:hAnsi="Arial"/>
          <w:sz w:val="20"/>
          <w:szCs w:val="20"/>
        </w:rPr>
        <w:t xml:space="preserve">as a </w:t>
      </w:r>
      <w:r w:rsidR="00F74D16" w:rsidRPr="00F74D16">
        <w:rPr>
          <w:rFonts w:ascii="Arial" w:hAnsi="Arial"/>
          <w:sz w:val="20"/>
          <w:szCs w:val="20"/>
        </w:rPr>
        <w:t xml:space="preserve">member </w:t>
      </w:r>
      <w:r>
        <w:rPr>
          <w:rFonts w:ascii="Arial" w:hAnsi="Arial"/>
          <w:sz w:val="20"/>
          <w:szCs w:val="20"/>
        </w:rPr>
        <w:t>country of</w:t>
      </w:r>
      <w:r w:rsidR="00F74D16" w:rsidRPr="00F74D16">
        <w:rPr>
          <w:rFonts w:ascii="Arial" w:hAnsi="Arial"/>
          <w:sz w:val="20"/>
          <w:szCs w:val="20"/>
        </w:rPr>
        <w:t xml:space="preserve"> WHO. </w:t>
      </w:r>
      <w:r w:rsidR="00BB00A7">
        <w:rPr>
          <w:rFonts w:ascii="Arial" w:hAnsi="Arial"/>
          <w:sz w:val="20"/>
          <w:szCs w:val="20"/>
        </w:rPr>
        <w:t>I</w:t>
      </w:r>
      <w:r w:rsidR="00BB00A7" w:rsidRPr="00F74D16">
        <w:rPr>
          <w:rFonts w:ascii="Arial" w:hAnsi="Arial"/>
          <w:sz w:val="20"/>
          <w:szCs w:val="20"/>
        </w:rPr>
        <w:t xml:space="preserve">n public and work spaces </w:t>
      </w:r>
      <w:r w:rsidR="00BB00A7">
        <w:rPr>
          <w:rFonts w:ascii="Arial" w:hAnsi="Arial"/>
          <w:sz w:val="20"/>
          <w:szCs w:val="20"/>
        </w:rPr>
        <w:t>is a</w:t>
      </w:r>
      <w:r w:rsidR="00F74D16" w:rsidRPr="00F74D16">
        <w:rPr>
          <w:rFonts w:ascii="Arial" w:hAnsi="Arial"/>
          <w:sz w:val="20"/>
          <w:szCs w:val="20"/>
        </w:rPr>
        <w:t xml:space="preserve">lready implemented </w:t>
      </w:r>
      <w:r w:rsidR="00BB00A7">
        <w:rPr>
          <w:rFonts w:ascii="Arial" w:hAnsi="Arial"/>
          <w:sz w:val="20"/>
          <w:szCs w:val="20"/>
        </w:rPr>
        <w:t>the restriction in</w:t>
      </w:r>
      <w:r w:rsidR="00F74D16" w:rsidRPr="00F74D16">
        <w:rPr>
          <w:rFonts w:ascii="Arial" w:hAnsi="Arial"/>
          <w:sz w:val="20"/>
          <w:szCs w:val="20"/>
        </w:rPr>
        <w:t xml:space="preserve"> smoking.</w:t>
      </w:r>
    </w:p>
    <w:p w:rsidR="00BB00A7" w:rsidRDefault="00BB00A7" w:rsidP="004120CD">
      <w:pPr>
        <w:spacing w:after="0" w:line="240" w:lineRule="auto"/>
        <w:jc w:val="both"/>
        <w:rPr>
          <w:rFonts w:ascii="Arial" w:hAnsi="Arial"/>
          <w:sz w:val="20"/>
          <w:szCs w:val="20"/>
        </w:rPr>
      </w:pPr>
      <w:r>
        <w:rPr>
          <w:rFonts w:ascii="Arial" w:hAnsi="Arial"/>
          <w:sz w:val="20"/>
          <w:szCs w:val="20"/>
        </w:rPr>
        <w:t>Despite this strategy, there are also</w:t>
      </w:r>
      <w:r w:rsidR="00F74D16" w:rsidRPr="00CE22AD">
        <w:rPr>
          <w:rFonts w:ascii="Arial" w:hAnsi="Arial"/>
          <w:sz w:val="20"/>
          <w:szCs w:val="20"/>
        </w:rPr>
        <w:t xml:space="preserve"> </w:t>
      </w:r>
      <w:r w:rsidR="000054DF" w:rsidRPr="00CE22AD">
        <w:rPr>
          <w:rFonts w:ascii="Arial" w:hAnsi="Arial"/>
          <w:sz w:val="20"/>
          <w:szCs w:val="20"/>
        </w:rPr>
        <w:t xml:space="preserve">the </w:t>
      </w:r>
      <w:r w:rsidR="00F74D16" w:rsidRPr="00CE22AD">
        <w:rPr>
          <w:rFonts w:ascii="Arial" w:hAnsi="Arial"/>
          <w:sz w:val="20"/>
          <w:szCs w:val="20"/>
        </w:rPr>
        <w:t>strategy</w:t>
      </w:r>
      <w:r w:rsidR="00F74D16" w:rsidRPr="00F74D16">
        <w:rPr>
          <w:rFonts w:ascii="Arial" w:hAnsi="Arial"/>
          <w:sz w:val="20"/>
          <w:szCs w:val="20"/>
        </w:rPr>
        <w:t xml:space="preserve"> </w:t>
      </w:r>
      <w:r w:rsidR="000054DF">
        <w:rPr>
          <w:rFonts w:ascii="Arial" w:hAnsi="Arial"/>
          <w:sz w:val="20"/>
          <w:szCs w:val="20"/>
        </w:rPr>
        <w:t>for battle against</w:t>
      </w:r>
      <w:r w:rsidR="00F74D16" w:rsidRPr="00F74D16">
        <w:rPr>
          <w:rFonts w:ascii="Arial" w:hAnsi="Arial"/>
          <w:sz w:val="20"/>
          <w:szCs w:val="20"/>
        </w:rPr>
        <w:t xml:space="preserve"> alcohol</w:t>
      </w:r>
      <w:r>
        <w:rPr>
          <w:rFonts w:ascii="Arial" w:hAnsi="Arial"/>
          <w:sz w:val="20"/>
          <w:szCs w:val="20"/>
        </w:rPr>
        <w:t xml:space="preserve"> and the</w:t>
      </w:r>
      <w:r w:rsidR="00F74D16" w:rsidRPr="00F74D16">
        <w:rPr>
          <w:rFonts w:ascii="Arial" w:hAnsi="Arial"/>
          <w:sz w:val="20"/>
          <w:szCs w:val="20"/>
        </w:rPr>
        <w:t xml:space="preserve"> strategy for drug</w:t>
      </w:r>
      <w:r w:rsidR="000054DF">
        <w:rPr>
          <w:rFonts w:ascii="Arial" w:hAnsi="Arial"/>
          <w:sz w:val="20"/>
          <w:szCs w:val="20"/>
        </w:rPr>
        <w:t>s control</w:t>
      </w:r>
      <w:r w:rsidR="00F74D16" w:rsidRPr="00F74D16">
        <w:rPr>
          <w:rFonts w:ascii="Arial" w:hAnsi="Arial"/>
          <w:sz w:val="20"/>
          <w:szCs w:val="20"/>
        </w:rPr>
        <w:t xml:space="preserve"> which defines the objectives and activities </w:t>
      </w:r>
      <w:r w:rsidR="000054DF">
        <w:rPr>
          <w:rFonts w:ascii="Arial" w:hAnsi="Arial"/>
          <w:sz w:val="20"/>
          <w:szCs w:val="20"/>
        </w:rPr>
        <w:t>for decreasing the</w:t>
      </w:r>
      <w:r w:rsidR="00F74D16" w:rsidRPr="00F74D16">
        <w:rPr>
          <w:rFonts w:ascii="Arial" w:hAnsi="Arial"/>
          <w:sz w:val="20"/>
          <w:szCs w:val="20"/>
        </w:rPr>
        <w:t xml:space="preserve"> demand and availability </w:t>
      </w:r>
      <w:r w:rsidR="000054DF">
        <w:rPr>
          <w:rFonts w:ascii="Arial" w:hAnsi="Arial"/>
          <w:sz w:val="20"/>
          <w:szCs w:val="20"/>
        </w:rPr>
        <w:t>o</w:t>
      </w:r>
      <w:r>
        <w:rPr>
          <w:rFonts w:ascii="Arial" w:hAnsi="Arial"/>
          <w:sz w:val="20"/>
          <w:szCs w:val="20"/>
        </w:rPr>
        <w:t>f drugs in the</w:t>
      </w:r>
      <w:r w:rsidR="000054DF">
        <w:rPr>
          <w:rFonts w:ascii="Arial" w:hAnsi="Arial"/>
          <w:sz w:val="20"/>
          <w:szCs w:val="20"/>
        </w:rPr>
        <w:t xml:space="preserve"> period 2006-2012, </w:t>
      </w:r>
      <w:r>
        <w:rPr>
          <w:rFonts w:ascii="Arial" w:hAnsi="Arial"/>
          <w:sz w:val="20"/>
          <w:szCs w:val="20"/>
        </w:rPr>
        <w:t xml:space="preserve">which </w:t>
      </w:r>
      <w:r w:rsidR="000054DF">
        <w:rPr>
          <w:rFonts w:ascii="Arial" w:hAnsi="Arial"/>
          <w:sz w:val="20"/>
          <w:szCs w:val="20"/>
        </w:rPr>
        <w:t xml:space="preserve">is accepted by the government </w:t>
      </w:r>
      <w:r w:rsidR="00F74D16" w:rsidRPr="00F74D16">
        <w:rPr>
          <w:rFonts w:ascii="Arial" w:hAnsi="Arial"/>
          <w:sz w:val="20"/>
          <w:szCs w:val="20"/>
        </w:rPr>
        <w:t xml:space="preserve">in </w:t>
      </w:r>
      <w:r>
        <w:rPr>
          <w:rFonts w:ascii="Arial" w:hAnsi="Arial"/>
          <w:sz w:val="20"/>
          <w:szCs w:val="20"/>
        </w:rPr>
        <w:t>d</w:t>
      </w:r>
      <w:r w:rsidR="00F74D16" w:rsidRPr="00F74D16">
        <w:rPr>
          <w:rFonts w:ascii="Arial" w:hAnsi="Arial"/>
          <w:sz w:val="20"/>
          <w:szCs w:val="20"/>
        </w:rPr>
        <w:t xml:space="preserve">ecember 2006 and is </w:t>
      </w:r>
      <w:r w:rsidR="000054DF">
        <w:rPr>
          <w:rFonts w:ascii="Arial" w:hAnsi="Arial"/>
          <w:sz w:val="20"/>
          <w:szCs w:val="20"/>
        </w:rPr>
        <w:t xml:space="preserve">a current action </w:t>
      </w:r>
      <w:r w:rsidR="00F74D16" w:rsidRPr="00F74D16">
        <w:rPr>
          <w:rFonts w:ascii="Arial" w:hAnsi="Arial"/>
          <w:sz w:val="20"/>
          <w:szCs w:val="20"/>
        </w:rPr>
        <w:t xml:space="preserve">plan </w:t>
      </w:r>
      <w:r w:rsidR="000054DF">
        <w:rPr>
          <w:rFonts w:ascii="Arial" w:hAnsi="Arial"/>
          <w:sz w:val="20"/>
          <w:szCs w:val="20"/>
        </w:rPr>
        <w:t xml:space="preserve">for </w:t>
      </w:r>
      <w:r w:rsidR="00F74D16" w:rsidRPr="00F74D16">
        <w:rPr>
          <w:rFonts w:ascii="Arial" w:hAnsi="Arial"/>
          <w:sz w:val="20"/>
          <w:szCs w:val="20"/>
        </w:rPr>
        <w:t>implementation.</w:t>
      </w:r>
      <w:r w:rsidR="000054DF">
        <w:rPr>
          <w:rFonts w:ascii="Arial" w:hAnsi="Arial"/>
          <w:sz w:val="20"/>
          <w:szCs w:val="20"/>
        </w:rPr>
        <w:t xml:space="preserve"> </w:t>
      </w:r>
    </w:p>
    <w:p w:rsidR="00F74D16" w:rsidRDefault="000054DF" w:rsidP="00FA2242">
      <w:pPr>
        <w:spacing w:before="120" w:after="0" w:line="240" w:lineRule="auto"/>
        <w:jc w:val="both"/>
        <w:rPr>
          <w:rFonts w:ascii="Arial" w:hAnsi="Arial"/>
          <w:sz w:val="20"/>
          <w:szCs w:val="20"/>
        </w:rPr>
      </w:pPr>
      <w:r>
        <w:rPr>
          <w:rFonts w:ascii="Arial" w:hAnsi="Arial"/>
          <w:sz w:val="20"/>
          <w:szCs w:val="20"/>
        </w:rPr>
        <w:t>Because of better clarity, the average life expectancy of the population in Republic of Macedonia and in the EU countries will be shown on picture 1.</w:t>
      </w:r>
    </w:p>
    <w:p w:rsidR="00F74D16" w:rsidRDefault="00F74D16" w:rsidP="00F74D16">
      <w:pPr>
        <w:spacing w:line="240" w:lineRule="auto"/>
        <w:rPr>
          <w:rFonts w:ascii="Arial" w:hAnsi="Arial"/>
          <w:sz w:val="20"/>
          <w:szCs w:val="20"/>
        </w:rPr>
      </w:pPr>
      <w:r>
        <w:rPr>
          <w:noProof/>
        </w:rPr>
        <w:lastRenderedPageBreak/>
        <w:drawing>
          <wp:inline distT="0" distB="0" distL="0" distR="0">
            <wp:extent cx="5943600" cy="351472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558A3" w:rsidRDefault="00B558A3" w:rsidP="00FA2242">
      <w:pPr>
        <w:spacing w:after="240" w:line="240" w:lineRule="auto"/>
        <w:rPr>
          <w:rFonts w:ascii="Arial" w:hAnsi="Arial"/>
          <w:sz w:val="20"/>
          <w:szCs w:val="20"/>
        </w:rPr>
      </w:pPr>
      <w:r>
        <w:rPr>
          <w:rFonts w:ascii="Arial" w:hAnsi="Arial"/>
          <w:sz w:val="20"/>
          <w:szCs w:val="20"/>
        </w:rPr>
        <w:t>Picture 1: Average life expectancy of the population in the Republic of Macedonia</w:t>
      </w:r>
      <w:r w:rsidRPr="00F74D16">
        <w:rPr>
          <w:rFonts w:ascii="Arial" w:hAnsi="Arial"/>
          <w:sz w:val="20"/>
          <w:szCs w:val="20"/>
        </w:rPr>
        <w:t xml:space="preserve"> </w:t>
      </w:r>
      <w:r>
        <w:rPr>
          <w:rFonts w:ascii="Arial" w:hAnsi="Arial"/>
          <w:sz w:val="20"/>
          <w:szCs w:val="20"/>
        </w:rPr>
        <w:t>and the EU countries</w:t>
      </w:r>
    </w:p>
    <w:p w:rsidR="00FA2242" w:rsidRDefault="00FA2242" w:rsidP="00FA2242">
      <w:pPr>
        <w:spacing w:before="120" w:line="240" w:lineRule="auto"/>
        <w:jc w:val="both"/>
        <w:rPr>
          <w:rFonts w:ascii="Arial" w:hAnsi="Arial"/>
          <w:sz w:val="20"/>
          <w:szCs w:val="20"/>
        </w:rPr>
      </w:pPr>
      <w:r w:rsidRPr="00F74D16">
        <w:rPr>
          <w:rFonts w:ascii="Arial" w:hAnsi="Arial"/>
          <w:sz w:val="20"/>
          <w:szCs w:val="20"/>
        </w:rPr>
        <w:t>The annual difference between average life</w:t>
      </w:r>
      <w:r>
        <w:rPr>
          <w:rFonts w:ascii="Arial" w:hAnsi="Arial"/>
          <w:sz w:val="20"/>
          <w:szCs w:val="20"/>
        </w:rPr>
        <w:t xml:space="preserve"> expectancy of the population in Republic</w:t>
      </w:r>
      <w:r w:rsidRPr="00F74D16">
        <w:rPr>
          <w:rFonts w:ascii="Arial" w:hAnsi="Arial"/>
          <w:sz w:val="20"/>
          <w:szCs w:val="20"/>
        </w:rPr>
        <w:t xml:space="preserve"> of Macedonia and th</w:t>
      </w:r>
      <w:r>
        <w:rPr>
          <w:rFonts w:ascii="Arial" w:hAnsi="Arial"/>
          <w:sz w:val="20"/>
          <w:szCs w:val="20"/>
        </w:rPr>
        <w:t>e EU countries is 4 to 5 years</w:t>
      </w:r>
      <w:r w:rsidRPr="00F74D16">
        <w:rPr>
          <w:rFonts w:ascii="Arial" w:hAnsi="Arial"/>
          <w:sz w:val="20"/>
          <w:szCs w:val="20"/>
        </w:rPr>
        <w:t xml:space="preserve"> </w:t>
      </w:r>
      <w:r>
        <w:rPr>
          <w:rFonts w:ascii="Arial" w:hAnsi="Arial"/>
          <w:sz w:val="20"/>
          <w:szCs w:val="20"/>
        </w:rPr>
        <w:t>which is shown in the graphic display.</w:t>
      </w:r>
    </w:p>
    <w:p w:rsidR="00F74D16" w:rsidRPr="00F74D16" w:rsidRDefault="00F74D16" w:rsidP="00F74D16">
      <w:pPr>
        <w:spacing w:line="240" w:lineRule="auto"/>
        <w:rPr>
          <w:rFonts w:ascii="Arial" w:hAnsi="Arial"/>
          <w:sz w:val="20"/>
          <w:szCs w:val="20"/>
        </w:rPr>
      </w:pPr>
    </w:p>
    <w:p w:rsidR="00F74D16" w:rsidRPr="000054DF" w:rsidRDefault="00F74D16" w:rsidP="00B558A3">
      <w:pPr>
        <w:spacing w:line="240" w:lineRule="auto"/>
        <w:ind w:firstLine="720"/>
        <w:jc w:val="center"/>
        <w:rPr>
          <w:rFonts w:ascii="Arial" w:hAnsi="Arial"/>
          <w:b/>
          <w:sz w:val="20"/>
          <w:szCs w:val="20"/>
        </w:rPr>
      </w:pPr>
      <w:r w:rsidRPr="000054DF">
        <w:rPr>
          <w:rFonts w:ascii="Arial" w:hAnsi="Arial"/>
          <w:b/>
          <w:sz w:val="20"/>
          <w:szCs w:val="20"/>
        </w:rPr>
        <w:t>GDP per capita in</w:t>
      </w:r>
      <w:r w:rsidR="00F56D31">
        <w:rPr>
          <w:rFonts w:ascii="Arial" w:hAnsi="Arial"/>
          <w:b/>
          <w:sz w:val="20"/>
          <w:szCs w:val="20"/>
        </w:rPr>
        <w:t xml:space="preserve"> the Republic of</w:t>
      </w:r>
      <w:r w:rsidRPr="000054DF">
        <w:rPr>
          <w:rFonts w:ascii="Arial" w:hAnsi="Arial"/>
          <w:b/>
          <w:sz w:val="20"/>
          <w:szCs w:val="20"/>
        </w:rPr>
        <w:t xml:space="preserve"> Macedonia and</w:t>
      </w:r>
      <w:r w:rsidR="00F56D31">
        <w:rPr>
          <w:rFonts w:ascii="Arial" w:hAnsi="Arial"/>
          <w:b/>
          <w:sz w:val="20"/>
          <w:szCs w:val="20"/>
        </w:rPr>
        <w:t xml:space="preserve"> the</w:t>
      </w:r>
      <w:r w:rsidRPr="000054DF">
        <w:rPr>
          <w:rFonts w:ascii="Arial" w:hAnsi="Arial"/>
          <w:b/>
          <w:sz w:val="20"/>
          <w:szCs w:val="20"/>
        </w:rPr>
        <w:t xml:space="preserve"> EU</w:t>
      </w:r>
      <w:r w:rsidR="00F56D31">
        <w:rPr>
          <w:rFonts w:ascii="Arial" w:hAnsi="Arial"/>
          <w:b/>
          <w:sz w:val="20"/>
          <w:szCs w:val="20"/>
        </w:rPr>
        <w:t xml:space="preserve"> countries</w:t>
      </w:r>
    </w:p>
    <w:p w:rsidR="00393753" w:rsidRDefault="00F74D16" w:rsidP="00B558A3">
      <w:pPr>
        <w:spacing w:after="0" w:line="240" w:lineRule="auto"/>
        <w:jc w:val="both"/>
        <w:rPr>
          <w:rFonts w:ascii="Arial" w:hAnsi="Arial"/>
          <w:sz w:val="20"/>
          <w:szCs w:val="20"/>
        </w:rPr>
      </w:pPr>
      <w:r w:rsidRPr="00F74D16">
        <w:rPr>
          <w:rFonts w:ascii="Arial" w:hAnsi="Arial"/>
          <w:sz w:val="20"/>
          <w:szCs w:val="20"/>
        </w:rPr>
        <w:t>Statistic</w:t>
      </w:r>
      <w:r w:rsidR="00F56D31">
        <w:rPr>
          <w:rFonts w:ascii="Arial" w:hAnsi="Arial"/>
          <w:sz w:val="20"/>
          <w:szCs w:val="20"/>
        </w:rPr>
        <w:t>al data show that Republic of</w:t>
      </w:r>
      <w:r w:rsidRPr="00F74D16">
        <w:rPr>
          <w:rFonts w:ascii="Arial" w:hAnsi="Arial"/>
          <w:sz w:val="20"/>
          <w:szCs w:val="20"/>
        </w:rPr>
        <w:t xml:space="preserve"> Macedonia </w:t>
      </w:r>
      <w:r w:rsidR="00F56D31">
        <w:rPr>
          <w:rFonts w:ascii="Arial" w:hAnsi="Arial"/>
          <w:sz w:val="20"/>
          <w:szCs w:val="20"/>
        </w:rPr>
        <w:t>stands</w:t>
      </w:r>
      <w:r w:rsidRPr="00F74D16">
        <w:rPr>
          <w:rFonts w:ascii="Arial" w:hAnsi="Arial"/>
          <w:sz w:val="20"/>
          <w:szCs w:val="20"/>
        </w:rPr>
        <w:t xml:space="preserve"> behind in socio-economic development </w:t>
      </w:r>
      <w:r w:rsidR="00F56D31">
        <w:rPr>
          <w:rFonts w:ascii="Arial" w:hAnsi="Arial"/>
          <w:sz w:val="20"/>
          <w:szCs w:val="20"/>
        </w:rPr>
        <w:t>in compar</w:t>
      </w:r>
      <w:r w:rsidR="00FA2242">
        <w:rPr>
          <w:rFonts w:ascii="Arial" w:hAnsi="Arial"/>
          <w:sz w:val="20"/>
          <w:szCs w:val="20"/>
        </w:rPr>
        <w:t>is</w:t>
      </w:r>
      <w:r w:rsidR="00F56D31">
        <w:rPr>
          <w:rFonts w:ascii="Arial" w:hAnsi="Arial"/>
          <w:sz w:val="20"/>
          <w:szCs w:val="20"/>
        </w:rPr>
        <w:t>on to the EU countries.</w:t>
      </w:r>
      <w:r w:rsidR="00B558A3">
        <w:rPr>
          <w:rFonts w:ascii="Arial" w:hAnsi="Arial"/>
          <w:sz w:val="20"/>
          <w:szCs w:val="20"/>
        </w:rPr>
        <w:t xml:space="preserve"> </w:t>
      </w:r>
      <w:r w:rsidRPr="00F74D16">
        <w:rPr>
          <w:rFonts w:ascii="Arial" w:hAnsi="Arial"/>
          <w:sz w:val="20"/>
          <w:szCs w:val="20"/>
        </w:rPr>
        <w:t>GDP per capita in</w:t>
      </w:r>
      <w:r w:rsidR="00F56D31">
        <w:rPr>
          <w:rFonts w:ascii="Arial" w:hAnsi="Arial"/>
          <w:sz w:val="20"/>
          <w:szCs w:val="20"/>
        </w:rPr>
        <w:t xml:space="preserve"> Republic of </w:t>
      </w:r>
      <w:r w:rsidRPr="00F74D16">
        <w:rPr>
          <w:rFonts w:ascii="Arial" w:hAnsi="Arial"/>
          <w:sz w:val="20"/>
          <w:szCs w:val="20"/>
        </w:rPr>
        <w:t xml:space="preserve"> Macedonia in </w:t>
      </w:r>
      <w:r w:rsidR="00F56D31">
        <w:rPr>
          <w:rFonts w:ascii="Arial" w:hAnsi="Arial"/>
          <w:sz w:val="20"/>
          <w:szCs w:val="20"/>
        </w:rPr>
        <w:t xml:space="preserve">year </w:t>
      </w:r>
      <w:r w:rsidRPr="00F74D16">
        <w:rPr>
          <w:rFonts w:ascii="Arial" w:hAnsi="Arial"/>
          <w:sz w:val="20"/>
          <w:szCs w:val="20"/>
        </w:rPr>
        <w:t>1993 was 1311.60 USD</w:t>
      </w:r>
      <w:r w:rsidR="00B558A3">
        <w:rPr>
          <w:rFonts w:ascii="Arial" w:hAnsi="Arial"/>
          <w:sz w:val="20"/>
          <w:szCs w:val="20"/>
        </w:rPr>
        <w:t>,</w:t>
      </w:r>
      <w:r w:rsidRPr="00F74D16">
        <w:rPr>
          <w:rFonts w:ascii="Arial" w:hAnsi="Arial"/>
          <w:sz w:val="20"/>
          <w:szCs w:val="20"/>
        </w:rPr>
        <w:t xml:space="preserve"> 1785.33 in 2000</w:t>
      </w:r>
      <w:r w:rsidR="00F56D31">
        <w:rPr>
          <w:rFonts w:ascii="Arial" w:hAnsi="Arial"/>
          <w:sz w:val="20"/>
          <w:szCs w:val="20"/>
        </w:rPr>
        <w:t xml:space="preserve"> and in 2010 was 4434.48</w:t>
      </w:r>
      <w:r w:rsidR="00FA2242">
        <w:rPr>
          <w:rFonts w:ascii="Arial" w:hAnsi="Arial"/>
          <w:sz w:val="20"/>
          <w:szCs w:val="20"/>
        </w:rPr>
        <w:t xml:space="preserve"> USD</w:t>
      </w:r>
      <w:r w:rsidRPr="00F74D16">
        <w:rPr>
          <w:rFonts w:ascii="Arial" w:hAnsi="Arial"/>
          <w:sz w:val="20"/>
          <w:szCs w:val="20"/>
        </w:rPr>
        <w:t>.</w:t>
      </w:r>
      <w:r w:rsidR="00B558A3">
        <w:rPr>
          <w:rFonts w:ascii="Arial" w:hAnsi="Arial"/>
          <w:sz w:val="20"/>
          <w:szCs w:val="20"/>
        </w:rPr>
        <w:t xml:space="preserve"> </w:t>
      </w:r>
      <w:r w:rsidRPr="00F74D16">
        <w:rPr>
          <w:rFonts w:ascii="Arial" w:hAnsi="Arial"/>
          <w:sz w:val="20"/>
          <w:szCs w:val="20"/>
        </w:rPr>
        <w:t xml:space="preserve">In </w:t>
      </w:r>
      <w:r w:rsidR="00F56D31">
        <w:rPr>
          <w:rFonts w:ascii="Arial" w:hAnsi="Arial"/>
          <w:sz w:val="20"/>
          <w:szCs w:val="20"/>
        </w:rPr>
        <w:t xml:space="preserve">the </w:t>
      </w:r>
      <w:r w:rsidRPr="00F74D16">
        <w:rPr>
          <w:rFonts w:ascii="Arial" w:hAnsi="Arial"/>
          <w:sz w:val="20"/>
          <w:szCs w:val="20"/>
        </w:rPr>
        <w:t>E</w:t>
      </w:r>
      <w:r w:rsidR="00F56D31">
        <w:rPr>
          <w:rFonts w:ascii="Arial" w:hAnsi="Arial"/>
          <w:sz w:val="20"/>
          <w:szCs w:val="20"/>
        </w:rPr>
        <w:t>U countries</w:t>
      </w:r>
      <w:r w:rsidRPr="00F74D16">
        <w:rPr>
          <w:rFonts w:ascii="Arial" w:hAnsi="Arial"/>
          <w:sz w:val="20"/>
          <w:szCs w:val="20"/>
        </w:rPr>
        <w:t xml:space="preserve">, GDP per capita </w:t>
      </w:r>
      <w:r w:rsidR="00F56D31">
        <w:rPr>
          <w:rFonts w:ascii="Arial" w:hAnsi="Arial"/>
          <w:sz w:val="20"/>
          <w:szCs w:val="20"/>
        </w:rPr>
        <w:t xml:space="preserve">in </w:t>
      </w:r>
      <w:r w:rsidRPr="00F74D16">
        <w:rPr>
          <w:rFonts w:ascii="Arial" w:hAnsi="Arial"/>
          <w:sz w:val="20"/>
          <w:szCs w:val="20"/>
        </w:rPr>
        <w:t xml:space="preserve">average in </w:t>
      </w:r>
      <w:r w:rsidR="00F56D31">
        <w:rPr>
          <w:rFonts w:ascii="Arial" w:hAnsi="Arial"/>
          <w:sz w:val="20"/>
          <w:szCs w:val="20"/>
        </w:rPr>
        <w:t xml:space="preserve">year </w:t>
      </w:r>
      <w:r w:rsidRPr="00F74D16">
        <w:rPr>
          <w:rFonts w:ascii="Arial" w:hAnsi="Arial"/>
          <w:sz w:val="20"/>
          <w:szCs w:val="20"/>
        </w:rPr>
        <w:t>1993 was 15,748.91 USD</w:t>
      </w:r>
      <w:r w:rsidR="00B558A3">
        <w:rPr>
          <w:rFonts w:ascii="Arial" w:hAnsi="Arial"/>
          <w:sz w:val="20"/>
          <w:szCs w:val="20"/>
        </w:rPr>
        <w:t>,</w:t>
      </w:r>
      <w:r w:rsidR="00F56D31" w:rsidRPr="00F56D31">
        <w:rPr>
          <w:rFonts w:ascii="Arial" w:hAnsi="Arial"/>
          <w:sz w:val="20"/>
          <w:szCs w:val="20"/>
        </w:rPr>
        <w:t xml:space="preserve"> </w:t>
      </w:r>
      <w:r w:rsidR="00F56D31" w:rsidRPr="00F74D16">
        <w:rPr>
          <w:rFonts w:ascii="Arial" w:hAnsi="Arial"/>
          <w:sz w:val="20"/>
          <w:szCs w:val="20"/>
        </w:rPr>
        <w:t xml:space="preserve">in </w:t>
      </w:r>
      <w:r w:rsidR="00F56D31">
        <w:rPr>
          <w:rFonts w:ascii="Arial" w:hAnsi="Arial"/>
          <w:sz w:val="20"/>
          <w:szCs w:val="20"/>
        </w:rPr>
        <w:t xml:space="preserve">year </w:t>
      </w:r>
      <w:r w:rsidR="00F56D31" w:rsidRPr="00F74D16">
        <w:rPr>
          <w:rFonts w:ascii="Arial" w:hAnsi="Arial"/>
          <w:sz w:val="20"/>
          <w:szCs w:val="20"/>
        </w:rPr>
        <w:t>2000</w:t>
      </w:r>
      <w:r w:rsidR="00B558A3">
        <w:rPr>
          <w:rFonts w:ascii="Arial" w:hAnsi="Arial"/>
          <w:sz w:val="20"/>
          <w:szCs w:val="20"/>
        </w:rPr>
        <w:t>-</w:t>
      </w:r>
      <w:r w:rsidR="00F56D31" w:rsidRPr="00F74D16">
        <w:rPr>
          <w:rFonts w:ascii="Arial" w:hAnsi="Arial"/>
          <w:sz w:val="20"/>
          <w:szCs w:val="20"/>
        </w:rPr>
        <w:t xml:space="preserve"> </w:t>
      </w:r>
      <w:r w:rsidRPr="00F74D16">
        <w:rPr>
          <w:rFonts w:ascii="Arial" w:hAnsi="Arial"/>
          <w:sz w:val="20"/>
          <w:szCs w:val="20"/>
        </w:rPr>
        <w:t xml:space="preserve"> 23,388.77 </w:t>
      </w:r>
      <w:r w:rsidR="00FA2242">
        <w:rPr>
          <w:rFonts w:ascii="Arial" w:hAnsi="Arial"/>
          <w:sz w:val="20"/>
          <w:szCs w:val="20"/>
        </w:rPr>
        <w:t xml:space="preserve">USD </w:t>
      </w:r>
      <w:r w:rsidRPr="00F74D16">
        <w:rPr>
          <w:rFonts w:ascii="Arial" w:hAnsi="Arial"/>
          <w:sz w:val="20"/>
          <w:szCs w:val="20"/>
        </w:rPr>
        <w:t>a</w:t>
      </w:r>
      <w:r w:rsidR="00F56D31">
        <w:rPr>
          <w:rFonts w:ascii="Arial" w:hAnsi="Arial"/>
          <w:sz w:val="20"/>
          <w:szCs w:val="20"/>
        </w:rPr>
        <w:t>nd in 2010 was 32,198.55</w:t>
      </w:r>
      <w:r w:rsidR="00FA2242">
        <w:rPr>
          <w:rFonts w:ascii="Arial" w:hAnsi="Arial"/>
          <w:sz w:val="20"/>
          <w:szCs w:val="20"/>
        </w:rPr>
        <w:t xml:space="preserve"> USD</w:t>
      </w:r>
      <w:r w:rsidRPr="00F74D16">
        <w:rPr>
          <w:rFonts w:ascii="Arial" w:hAnsi="Arial"/>
          <w:sz w:val="20"/>
          <w:szCs w:val="20"/>
        </w:rPr>
        <w:t>.</w:t>
      </w:r>
    </w:p>
    <w:p w:rsidR="00393753" w:rsidRDefault="00FA2242" w:rsidP="00FA2242">
      <w:pPr>
        <w:spacing w:before="120" w:line="240" w:lineRule="auto"/>
        <w:jc w:val="both"/>
        <w:rPr>
          <w:rFonts w:ascii="Arial" w:hAnsi="Arial"/>
          <w:sz w:val="20"/>
          <w:szCs w:val="20"/>
        </w:rPr>
      </w:pPr>
      <w:r>
        <w:rPr>
          <w:rFonts w:ascii="Arial" w:hAnsi="Arial"/>
          <w:sz w:val="20"/>
          <w:szCs w:val="20"/>
        </w:rPr>
        <w:t xml:space="preserve">The information about GDP per capita in Republic of Macedonia and EU countries in the period 1993-2010 are shown in Table 1. </w:t>
      </w:r>
    </w:p>
    <w:p w:rsidR="00FA2242" w:rsidRDefault="00FA2242" w:rsidP="00FA2242">
      <w:pPr>
        <w:spacing w:before="120" w:line="240" w:lineRule="auto"/>
        <w:jc w:val="both"/>
        <w:rPr>
          <w:rFonts w:ascii="Arial" w:hAnsi="Arial"/>
          <w:sz w:val="20"/>
          <w:szCs w:val="20"/>
        </w:rPr>
      </w:pPr>
    </w:p>
    <w:p w:rsidR="00FA2242" w:rsidRDefault="00FA2242" w:rsidP="00FA2242">
      <w:pPr>
        <w:spacing w:before="120" w:line="240" w:lineRule="auto"/>
        <w:jc w:val="both"/>
        <w:rPr>
          <w:rFonts w:ascii="Arial" w:hAnsi="Arial"/>
          <w:sz w:val="20"/>
          <w:szCs w:val="20"/>
        </w:rPr>
      </w:pPr>
    </w:p>
    <w:p w:rsidR="00FA2242" w:rsidRDefault="00FA2242" w:rsidP="00FA2242">
      <w:pPr>
        <w:spacing w:before="120" w:line="240" w:lineRule="auto"/>
        <w:jc w:val="both"/>
        <w:rPr>
          <w:rFonts w:ascii="Arial" w:hAnsi="Arial"/>
          <w:sz w:val="20"/>
          <w:szCs w:val="20"/>
        </w:rPr>
      </w:pPr>
    </w:p>
    <w:p w:rsidR="00FA2242" w:rsidRDefault="00FA2242" w:rsidP="00FA2242">
      <w:pPr>
        <w:spacing w:before="120" w:line="240" w:lineRule="auto"/>
        <w:jc w:val="both"/>
        <w:rPr>
          <w:rFonts w:ascii="Arial" w:hAnsi="Arial"/>
          <w:sz w:val="20"/>
          <w:szCs w:val="20"/>
        </w:rPr>
      </w:pPr>
    </w:p>
    <w:p w:rsidR="00FA2242" w:rsidRDefault="00FA2242" w:rsidP="00FA2242">
      <w:pPr>
        <w:spacing w:before="120" w:line="240" w:lineRule="auto"/>
        <w:jc w:val="both"/>
        <w:rPr>
          <w:rFonts w:ascii="Arial" w:hAnsi="Arial"/>
          <w:sz w:val="20"/>
          <w:szCs w:val="20"/>
        </w:rPr>
      </w:pPr>
    </w:p>
    <w:p w:rsidR="00FA2242" w:rsidRDefault="00FA2242" w:rsidP="00FA2242">
      <w:pPr>
        <w:spacing w:before="120" w:line="240" w:lineRule="auto"/>
        <w:jc w:val="both"/>
        <w:rPr>
          <w:rFonts w:ascii="Arial" w:hAnsi="Arial"/>
          <w:sz w:val="20"/>
          <w:szCs w:val="20"/>
        </w:rPr>
      </w:pPr>
    </w:p>
    <w:p w:rsidR="00F74D16" w:rsidRPr="002B001C" w:rsidRDefault="00F56D31" w:rsidP="00393753">
      <w:pPr>
        <w:jc w:val="center"/>
        <w:rPr>
          <w:rFonts w:ascii="Arial" w:hAnsi="Arial" w:cs="Arial"/>
          <w:b/>
          <w:sz w:val="20"/>
          <w:szCs w:val="20"/>
        </w:rPr>
      </w:pPr>
      <w:r w:rsidRPr="002B001C">
        <w:rPr>
          <w:rFonts w:ascii="Arial" w:hAnsi="Arial" w:cs="Arial"/>
          <w:sz w:val="20"/>
          <w:szCs w:val="20"/>
        </w:rPr>
        <w:lastRenderedPageBreak/>
        <w:t>Table</w:t>
      </w:r>
      <w:r w:rsidR="00B558A3" w:rsidRPr="002B001C">
        <w:rPr>
          <w:rFonts w:ascii="Arial" w:hAnsi="Arial" w:cs="Arial"/>
          <w:sz w:val="20"/>
          <w:szCs w:val="20"/>
        </w:rPr>
        <w:t xml:space="preserve"> 1:</w:t>
      </w:r>
      <w:r w:rsidR="00F74D16" w:rsidRPr="002B001C">
        <w:rPr>
          <w:rFonts w:ascii="Arial" w:hAnsi="Arial" w:cs="Arial"/>
          <w:sz w:val="20"/>
          <w:szCs w:val="20"/>
        </w:rPr>
        <w:t xml:space="preserve"> </w:t>
      </w:r>
      <w:r w:rsidRPr="002B001C">
        <w:rPr>
          <w:rFonts w:ascii="Arial" w:hAnsi="Arial" w:cs="Arial"/>
          <w:sz w:val="20"/>
          <w:szCs w:val="20"/>
        </w:rPr>
        <w:t>GDP per capita in Republic of Macedonia and EU countries</w:t>
      </w:r>
      <w:r w:rsidR="00F74D16" w:rsidRPr="002B001C">
        <w:rPr>
          <w:rStyle w:val="FootnoteReference"/>
          <w:rFonts w:ascii="Arial" w:hAnsi="Arial" w:cs="Arial"/>
          <w:sz w:val="20"/>
          <w:szCs w:val="20"/>
        </w:rPr>
        <w:footnoteReference w:id="7"/>
      </w:r>
    </w:p>
    <w:tbl>
      <w:tblPr>
        <w:tblW w:w="7385"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0"/>
        <w:gridCol w:w="2785"/>
        <w:gridCol w:w="3150"/>
      </w:tblGrid>
      <w:tr w:rsidR="00FA2242" w:rsidRPr="00F17538" w:rsidTr="00F56D31">
        <w:trPr>
          <w:trHeight w:val="300"/>
          <w:jc w:val="center"/>
        </w:trPr>
        <w:tc>
          <w:tcPr>
            <w:tcW w:w="1450" w:type="dxa"/>
            <w:shd w:val="clear" w:color="auto" w:fill="auto"/>
            <w:noWrap/>
            <w:vAlign w:val="bottom"/>
          </w:tcPr>
          <w:p w:rsidR="00FA2242" w:rsidRPr="003C1BB6" w:rsidRDefault="00FA2242" w:rsidP="00FA2242">
            <w:pPr>
              <w:spacing w:after="0"/>
              <w:jc w:val="center"/>
              <w:rPr>
                <w:rFonts w:ascii="Arial" w:hAnsi="Arial" w:cs="Arial"/>
                <w:b/>
                <w:bCs/>
                <w:sz w:val="20"/>
                <w:szCs w:val="20"/>
              </w:rPr>
            </w:pPr>
            <w:r w:rsidRPr="003C1BB6">
              <w:rPr>
                <w:rFonts w:ascii="Arial" w:hAnsi="Arial" w:cs="Arial"/>
                <w:b/>
                <w:bCs/>
                <w:sz w:val="20"/>
                <w:szCs w:val="20"/>
              </w:rPr>
              <w:t>Year</w:t>
            </w:r>
          </w:p>
        </w:tc>
        <w:tc>
          <w:tcPr>
            <w:tcW w:w="2785" w:type="dxa"/>
            <w:shd w:val="clear" w:color="auto" w:fill="auto"/>
            <w:vAlign w:val="center"/>
          </w:tcPr>
          <w:p w:rsidR="00FA2242" w:rsidRPr="003C1BB6" w:rsidRDefault="00FA2242" w:rsidP="00FA2242">
            <w:pPr>
              <w:spacing w:after="0" w:line="240" w:lineRule="auto"/>
              <w:jc w:val="center"/>
              <w:rPr>
                <w:rFonts w:ascii="Arial" w:hAnsi="Arial" w:cs="Arial"/>
                <w:b/>
                <w:bCs/>
                <w:sz w:val="20"/>
                <w:szCs w:val="20"/>
                <w:lang w:val="it-IT"/>
              </w:rPr>
            </w:pPr>
            <w:r w:rsidRPr="003C1BB6">
              <w:rPr>
                <w:rFonts w:ascii="Arial" w:hAnsi="Arial" w:cs="Arial"/>
                <w:b/>
                <w:bCs/>
                <w:sz w:val="20"/>
                <w:szCs w:val="20"/>
                <w:lang w:val="it-IT"/>
              </w:rPr>
              <w:t>GDP per capita in Macedonia</w:t>
            </w:r>
          </w:p>
        </w:tc>
        <w:tc>
          <w:tcPr>
            <w:tcW w:w="3150" w:type="dxa"/>
            <w:shd w:val="clear" w:color="auto" w:fill="auto"/>
            <w:vAlign w:val="bottom"/>
          </w:tcPr>
          <w:p w:rsidR="00FA2242" w:rsidRPr="003C1BB6" w:rsidRDefault="00FA2242" w:rsidP="00FA2242">
            <w:pPr>
              <w:spacing w:after="0" w:line="240" w:lineRule="auto"/>
              <w:jc w:val="center"/>
              <w:rPr>
                <w:rFonts w:ascii="Arial" w:hAnsi="Arial" w:cs="Arial"/>
                <w:b/>
                <w:sz w:val="20"/>
                <w:szCs w:val="20"/>
                <w:lang w:val="it-IT"/>
              </w:rPr>
            </w:pPr>
            <w:r w:rsidRPr="003C1BB6">
              <w:rPr>
                <w:rFonts w:ascii="Arial" w:hAnsi="Arial" w:cs="Arial"/>
                <w:b/>
                <w:sz w:val="20"/>
                <w:szCs w:val="20"/>
                <w:lang w:val="it-IT"/>
              </w:rPr>
              <w:t>Average GDP per capita in EU countries</w:t>
            </w:r>
          </w:p>
        </w:tc>
      </w:tr>
      <w:tr w:rsidR="00F74D16" w:rsidRPr="00F17538" w:rsidTr="00F56D31">
        <w:trPr>
          <w:trHeight w:val="300"/>
          <w:jc w:val="center"/>
        </w:trPr>
        <w:tc>
          <w:tcPr>
            <w:tcW w:w="1450" w:type="dxa"/>
            <w:shd w:val="clear" w:color="auto" w:fill="auto"/>
            <w:noWrap/>
            <w:vAlign w:val="bottom"/>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1993</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1.311,60</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15.748,91</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1994</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1.730,55</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16.714,31</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1995</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2.266,06</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19.173,49</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1996</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2.241,02</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19.535,31</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1997</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1.883,67</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18.395,85</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1998</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1.792,33</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19.008,73</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1999</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1.835,56</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18.966,59</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2000</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1.785,33</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17.541,93</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2001</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1.704,78</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17.716,29</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2002</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1.874,79</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19.261,87</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2003</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2.345,49</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23.388,77</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2004</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2.712,32</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26.878,28</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2005</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2.936,94</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27.975,69</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2006</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3.211,09</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29.699,36</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2007</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3.984,44</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34.187,80</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2008</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4.791,19</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36.588,34</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2009</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4.528,25</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32.584,00</w:t>
            </w:r>
          </w:p>
        </w:tc>
      </w:tr>
      <w:tr w:rsidR="00F74D16" w:rsidRPr="00F17538" w:rsidTr="00F56D31">
        <w:trPr>
          <w:trHeight w:val="285"/>
          <w:jc w:val="center"/>
        </w:trPr>
        <w:tc>
          <w:tcPr>
            <w:tcW w:w="1450" w:type="dxa"/>
            <w:shd w:val="clear" w:color="auto" w:fill="auto"/>
            <w:noWrap/>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2010</w:t>
            </w:r>
          </w:p>
        </w:tc>
        <w:tc>
          <w:tcPr>
            <w:tcW w:w="2785" w:type="dxa"/>
            <w:shd w:val="clear" w:color="auto" w:fill="auto"/>
            <w:vAlign w:val="center"/>
          </w:tcPr>
          <w:p w:rsidR="00F74D16" w:rsidRPr="00F17538" w:rsidRDefault="00F74D16" w:rsidP="00B558A3">
            <w:pPr>
              <w:spacing w:after="0"/>
              <w:jc w:val="center"/>
              <w:rPr>
                <w:rFonts w:ascii="Arial" w:hAnsi="Arial" w:cs="Arial"/>
                <w:bCs/>
                <w:sz w:val="20"/>
                <w:szCs w:val="20"/>
              </w:rPr>
            </w:pPr>
            <w:r w:rsidRPr="00F17538">
              <w:rPr>
                <w:rFonts w:ascii="Arial" w:hAnsi="Arial" w:cs="Arial"/>
                <w:bCs/>
                <w:sz w:val="20"/>
                <w:szCs w:val="20"/>
              </w:rPr>
              <w:t>4.434,49</w:t>
            </w:r>
          </w:p>
        </w:tc>
        <w:tc>
          <w:tcPr>
            <w:tcW w:w="3150" w:type="dxa"/>
            <w:shd w:val="clear" w:color="auto" w:fill="auto"/>
            <w:vAlign w:val="bottom"/>
          </w:tcPr>
          <w:p w:rsidR="00F74D16" w:rsidRPr="00F17538" w:rsidRDefault="00F74D16" w:rsidP="00B558A3">
            <w:pPr>
              <w:spacing w:after="0"/>
              <w:jc w:val="center"/>
              <w:rPr>
                <w:rFonts w:ascii="Arial" w:hAnsi="Arial" w:cs="Arial"/>
                <w:sz w:val="20"/>
                <w:szCs w:val="20"/>
              </w:rPr>
            </w:pPr>
            <w:r w:rsidRPr="00F17538">
              <w:rPr>
                <w:rFonts w:ascii="Arial" w:hAnsi="Arial" w:cs="Arial"/>
                <w:sz w:val="20"/>
                <w:szCs w:val="20"/>
              </w:rPr>
              <w:t>32.198,55</w:t>
            </w:r>
          </w:p>
        </w:tc>
      </w:tr>
    </w:tbl>
    <w:p w:rsidR="00FA2242" w:rsidRDefault="00FA2242" w:rsidP="00F17538">
      <w:pPr>
        <w:spacing w:before="120" w:after="240" w:line="240" w:lineRule="auto"/>
        <w:rPr>
          <w:rFonts w:ascii="Arial" w:hAnsi="Arial"/>
          <w:sz w:val="20"/>
          <w:szCs w:val="20"/>
        </w:rPr>
      </w:pPr>
      <w:r>
        <w:rPr>
          <w:rFonts w:ascii="Arial" w:hAnsi="Arial"/>
          <w:sz w:val="20"/>
          <w:szCs w:val="20"/>
        </w:rPr>
        <w:t>This</w:t>
      </w:r>
      <w:r w:rsidR="00935C74" w:rsidRPr="00935C74">
        <w:rPr>
          <w:rFonts w:ascii="Arial" w:hAnsi="Arial"/>
          <w:sz w:val="20"/>
          <w:szCs w:val="20"/>
        </w:rPr>
        <w:t xml:space="preserve"> data </w:t>
      </w:r>
      <w:r>
        <w:rPr>
          <w:rFonts w:ascii="Arial" w:hAnsi="Arial"/>
          <w:sz w:val="20"/>
          <w:szCs w:val="20"/>
        </w:rPr>
        <w:t>are also</w:t>
      </w:r>
      <w:r w:rsidR="00935C74" w:rsidRPr="00935C74">
        <w:rPr>
          <w:rFonts w:ascii="Arial" w:hAnsi="Arial"/>
          <w:sz w:val="20"/>
          <w:szCs w:val="20"/>
        </w:rPr>
        <w:t xml:space="preserve"> shown in graphic display 2.</w:t>
      </w:r>
    </w:p>
    <w:p w:rsidR="00F74D16" w:rsidRDefault="00F74D16" w:rsidP="00F74D16">
      <w:pPr>
        <w:spacing w:line="240" w:lineRule="auto"/>
        <w:rPr>
          <w:rFonts w:ascii="Arial" w:hAnsi="Arial"/>
          <w:sz w:val="20"/>
          <w:szCs w:val="20"/>
        </w:rPr>
      </w:pPr>
      <w:r>
        <w:rPr>
          <w:noProof/>
        </w:rPr>
        <w:drawing>
          <wp:inline distT="0" distB="0" distL="0" distR="0">
            <wp:extent cx="5943600" cy="3000375"/>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7538" w:rsidRDefault="00F17538" w:rsidP="00F17538">
      <w:pPr>
        <w:spacing w:line="240" w:lineRule="auto"/>
        <w:jc w:val="center"/>
        <w:rPr>
          <w:rFonts w:ascii="Arial" w:hAnsi="Arial"/>
          <w:sz w:val="20"/>
          <w:szCs w:val="20"/>
        </w:rPr>
      </w:pPr>
      <w:r>
        <w:rPr>
          <w:rFonts w:ascii="Arial" w:hAnsi="Arial"/>
          <w:sz w:val="20"/>
          <w:szCs w:val="20"/>
        </w:rPr>
        <w:t>Picture 2: GDP per capita in Macedonia and EU countries</w:t>
      </w:r>
    </w:p>
    <w:p w:rsidR="00B558A3" w:rsidRPr="00F17538" w:rsidRDefault="00F17538" w:rsidP="00F17538">
      <w:pPr>
        <w:spacing w:after="360" w:line="240" w:lineRule="auto"/>
        <w:rPr>
          <w:rFonts w:ascii="Arial" w:hAnsi="Arial"/>
          <w:sz w:val="20"/>
          <w:szCs w:val="20"/>
        </w:rPr>
      </w:pPr>
      <w:r>
        <w:rPr>
          <w:rFonts w:ascii="Arial" w:hAnsi="Arial"/>
          <w:sz w:val="20"/>
          <w:szCs w:val="20"/>
        </w:rPr>
        <w:lastRenderedPageBreak/>
        <w:t>From the table display 1</w:t>
      </w:r>
      <w:r w:rsidR="00FA2242">
        <w:rPr>
          <w:rFonts w:ascii="Arial" w:hAnsi="Arial"/>
          <w:sz w:val="20"/>
          <w:szCs w:val="20"/>
        </w:rPr>
        <w:t xml:space="preserve"> and graphic display 2, the difference of </w:t>
      </w:r>
      <w:r w:rsidR="00FA2242" w:rsidRPr="00F74D16">
        <w:rPr>
          <w:rFonts w:ascii="Arial" w:hAnsi="Arial"/>
          <w:sz w:val="20"/>
          <w:szCs w:val="20"/>
        </w:rPr>
        <w:t xml:space="preserve">GDP per capita </w:t>
      </w:r>
      <w:r w:rsidR="00FA2242">
        <w:rPr>
          <w:rFonts w:ascii="Arial" w:hAnsi="Arial"/>
          <w:sz w:val="20"/>
          <w:szCs w:val="20"/>
        </w:rPr>
        <w:t>between</w:t>
      </w:r>
      <w:r w:rsidR="00FA2242" w:rsidRPr="00F74D16">
        <w:rPr>
          <w:rFonts w:ascii="Arial" w:hAnsi="Arial"/>
          <w:sz w:val="20"/>
          <w:szCs w:val="20"/>
        </w:rPr>
        <w:t xml:space="preserve"> R</w:t>
      </w:r>
      <w:r w:rsidR="00FA2242">
        <w:rPr>
          <w:rFonts w:ascii="Arial" w:hAnsi="Arial"/>
          <w:sz w:val="20"/>
          <w:szCs w:val="20"/>
        </w:rPr>
        <w:t>epublic of Macedoni</w:t>
      </w:r>
      <w:r w:rsidR="00FA2242" w:rsidRPr="00F74D16">
        <w:rPr>
          <w:rFonts w:ascii="Arial" w:hAnsi="Arial"/>
          <w:sz w:val="20"/>
          <w:szCs w:val="20"/>
        </w:rPr>
        <w:t xml:space="preserve">a </w:t>
      </w:r>
      <w:r w:rsidR="00FA2242">
        <w:rPr>
          <w:rFonts w:ascii="Arial" w:hAnsi="Arial"/>
          <w:sz w:val="20"/>
          <w:szCs w:val="20"/>
        </w:rPr>
        <w:t xml:space="preserve">and </w:t>
      </w:r>
      <w:r w:rsidR="00FA2242" w:rsidRPr="00F74D16">
        <w:rPr>
          <w:rFonts w:ascii="Arial" w:hAnsi="Arial"/>
          <w:sz w:val="20"/>
          <w:szCs w:val="20"/>
        </w:rPr>
        <w:t>the EU</w:t>
      </w:r>
      <w:r w:rsidR="00FA2242">
        <w:rPr>
          <w:rFonts w:ascii="Arial" w:hAnsi="Arial"/>
          <w:sz w:val="20"/>
          <w:szCs w:val="20"/>
        </w:rPr>
        <w:t xml:space="preserve"> countries is evident.</w:t>
      </w:r>
      <w:r w:rsidR="00FA2242" w:rsidRPr="00935C74">
        <w:rPr>
          <w:rFonts w:ascii="Arial" w:hAnsi="Arial"/>
          <w:sz w:val="20"/>
          <w:szCs w:val="20"/>
        </w:rPr>
        <w:t xml:space="preserve"> </w:t>
      </w:r>
      <w:r w:rsidR="00FA2242" w:rsidRPr="00F74D16">
        <w:rPr>
          <w:rFonts w:ascii="Arial" w:hAnsi="Arial"/>
          <w:sz w:val="20"/>
          <w:szCs w:val="20"/>
        </w:rPr>
        <w:t>Th</w:t>
      </w:r>
      <w:r w:rsidR="00FA2242">
        <w:rPr>
          <w:rFonts w:ascii="Arial" w:hAnsi="Arial"/>
          <w:sz w:val="20"/>
          <w:szCs w:val="20"/>
        </w:rPr>
        <w:t>e</w:t>
      </w:r>
      <w:r w:rsidR="00FA2242" w:rsidRPr="00F74D16">
        <w:rPr>
          <w:rFonts w:ascii="Arial" w:hAnsi="Arial"/>
          <w:sz w:val="20"/>
          <w:szCs w:val="20"/>
        </w:rPr>
        <w:t xml:space="preserve"> </w:t>
      </w:r>
      <w:r w:rsidR="00FA2242">
        <w:rPr>
          <w:rFonts w:ascii="Arial" w:hAnsi="Arial"/>
          <w:sz w:val="20"/>
          <w:szCs w:val="20"/>
        </w:rPr>
        <w:t>average GDP in Republic of Macedonia is around 10 times lower than in the EU countries.</w:t>
      </w:r>
      <w:r w:rsidR="00FA2242" w:rsidRPr="00F74D16">
        <w:rPr>
          <w:rFonts w:ascii="Arial" w:hAnsi="Arial"/>
          <w:sz w:val="20"/>
          <w:szCs w:val="20"/>
        </w:rPr>
        <w:t xml:space="preserve"> </w:t>
      </w:r>
    </w:p>
    <w:p w:rsidR="00F74D16" w:rsidRDefault="00935C74" w:rsidP="00B558A3">
      <w:pPr>
        <w:spacing w:after="0" w:line="240" w:lineRule="auto"/>
        <w:ind w:firstLine="720"/>
        <w:jc w:val="center"/>
        <w:rPr>
          <w:rFonts w:ascii="Arial" w:hAnsi="Arial"/>
          <w:b/>
          <w:sz w:val="20"/>
          <w:szCs w:val="20"/>
        </w:rPr>
      </w:pPr>
      <w:r>
        <w:rPr>
          <w:rFonts w:ascii="Arial" w:hAnsi="Arial"/>
          <w:b/>
          <w:sz w:val="20"/>
          <w:szCs w:val="20"/>
        </w:rPr>
        <w:t>C</w:t>
      </w:r>
      <w:r w:rsidR="00F74D16" w:rsidRPr="00935C74">
        <w:rPr>
          <w:rFonts w:ascii="Arial" w:hAnsi="Arial"/>
          <w:b/>
          <w:sz w:val="20"/>
          <w:szCs w:val="20"/>
        </w:rPr>
        <w:t xml:space="preserve">orrelation </w:t>
      </w:r>
      <w:r>
        <w:rPr>
          <w:rFonts w:ascii="Arial" w:hAnsi="Arial"/>
          <w:b/>
          <w:sz w:val="20"/>
          <w:szCs w:val="20"/>
        </w:rPr>
        <w:t>and</w:t>
      </w:r>
      <w:r w:rsidR="00F74D16" w:rsidRPr="00935C74">
        <w:rPr>
          <w:rFonts w:ascii="Arial" w:hAnsi="Arial"/>
          <w:b/>
          <w:sz w:val="20"/>
          <w:szCs w:val="20"/>
        </w:rPr>
        <w:t xml:space="preserve"> determ</w:t>
      </w:r>
      <w:r w:rsidR="00043231">
        <w:rPr>
          <w:rFonts w:ascii="Arial" w:hAnsi="Arial"/>
          <w:b/>
          <w:sz w:val="20"/>
          <w:szCs w:val="20"/>
        </w:rPr>
        <w:t>i</w:t>
      </w:r>
      <w:r w:rsidR="00F74D16" w:rsidRPr="00935C74">
        <w:rPr>
          <w:rFonts w:ascii="Arial" w:hAnsi="Arial"/>
          <w:b/>
          <w:sz w:val="20"/>
          <w:szCs w:val="20"/>
        </w:rPr>
        <w:t>na</w:t>
      </w:r>
      <w:r>
        <w:rPr>
          <w:rFonts w:ascii="Arial" w:hAnsi="Arial"/>
          <w:b/>
          <w:sz w:val="20"/>
          <w:szCs w:val="20"/>
        </w:rPr>
        <w:t>tion ratio between</w:t>
      </w:r>
      <w:r w:rsidR="00F74D16" w:rsidRPr="00935C74">
        <w:rPr>
          <w:rFonts w:ascii="Arial" w:hAnsi="Arial"/>
          <w:b/>
          <w:sz w:val="20"/>
          <w:szCs w:val="20"/>
        </w:rPr>
        <w:t xml:space="preserve"> GDP and life expectancy</w:t>
      </w:r>
      <w:r w:rsidR="0019087E">
        <w:rPr>
          <w:rFonts w:ascii="Arial" w:hAnsi="Arial"/>
          <w:b/>
          <w:sz w:val="20"/>
          <w:szCs w:val="20"/>
        </w:rPr>
        <w:t xml:space="preserve"> of</w:t>
      </w:r>
      <w:r w:rsidR="00B558A3">
        <w:rPr>
          <w:rFonts w:ascii="Arial" w:hAnsi="Arial"/>
          <w:b/>
          <w:sz w:val="20"/>
          <w:szCs w:val="20"/>
        </w:rPr>
        <w:t xml:space="preserve"> </w:t>
      </w:r>
      <w:r w:rsidR="00F74D16" w:rsidRPr="00935C74">
        <w:rPr>
          <w:rFonts w:ascii="Arial" w:hAnsi="Arial"/>
          <w:b/>
          <w:sz w:val="20"/>
          <w:szCs w:val="20"/>
        </w:rPr>
        <w:t xml:space="preserve">population in </w:t>
      </w:r>
      <w:r w:rsidR="0019087E">
        <w:rPr>
          <w:rFonts w:ascii="Arial" w:hAnsi="Arial"/>
          <w:b/>
          <w:sz w:val="20"/>
          <w:szCs w:val="20"/>
        </w:rPr>
        <w:t xml:space="preserve">Republic of </w:t>
      </w:r>
      <w:r w:rsidR="00F74D16" w:rsidRPr="00935C74">
        <w:rPr>
          <w:rFonts w:ascii="Arial" w:hAnsi="Arial"/>
          <w:b/>
          <w:sz w:val="20"/>
          <w:szCs w:val="20"/>
        </w:rPr>
        <w:t>Macedonia</w:t>
      </w:r>
    </w:p>
    <w:p w:rsidR="00B558A3" w:rsidRPr="00935C74" w:rsidRDefault="00B558A3" w:rsidP="00B558A3">
      <w:pPr>
        <w:spacing w:after="0" w:line="240" w:lineRule="auto"/>
        <w:ind w:firstLine="720"/>
        <w:jc w:val="center"/>
        <w:rPr>
          <w:rFonts w:ascii="Arial" w:hAnsi="Arial"/>
          <w:b/>
          <w:sz w:val="20"/>
          <w:szCs w:val="20"/>
        </w:rPr>
      </w:pPr>
    </w:p>
    <w:p w:rsidR="00F74D16" w:rsidRDefault="00EA4D5E" w:rsidP="00B558A3">
      <w:pPr>
        <w:spacing w:line="240" w:lineRule="auto"/>
        <w:jc w:val="both"/>
        <w:rPr>
          <w:rFonts w:ascii="Arial" w:hAnsi="Arial"/>
          <w:sz w:val="20"/>
          <w:szCs w:val="20"/>
        </w:rPr>
      </w:pPr>
      <w:r>
        <w:rPr>
          <w:rFonts w:ascii="Arial" w:hAnsi="Arial"/>
          <w:noProof/>
          <w:sz w:val="20"/>
          <w:szCs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55pt;margin-top:27.5pt;width:92pt;height:19.5pt;z-index:251658240">
            <v:imagedata r:id="rId10" o:title=""/>
          </v:shape>
          <o:OLEObject Type="Embed" ProgID="Equation.3" ShapeID="_x0000_s1026" DrawAspect="Content" ObjectID="_1449897679" r:id="rId11"/>
        </w:pict>
      </w:r>
      <w:r w:rsidR="00F74D16" w:rsidRPr="00F74D16">
        <w:rPr>
          <w:rFonts w:ascii="Arial" w:hAnsi="Arial"/>
          <w:sz w:val="20"/>
          <w:szCs w:val="20"/>
        </w:rPr>
        <w:t xml:space="preserve">The interest of our research was to </w:t>
      </w:r>
      <w:r w:rsidR="0019087E">
        <w:rPr>
          <w:rFonts w:ascii="Arial" w:hAnsi="Arial"/>
          <w:sz w:val="20"/>
          <w:szCs w:val="20"/>
        </w:rPr>
        <w:t>fore</w:t>
      </w:r>
      <w:r w:rsidR="00F74D16" w:rsidRPr="00F74D16">
        <w:rPr>
          <w:rFonts w:ascii="Arial" w:hAnsi="Arial"/>
          <w:sz w:val="20"/>
          <w:szCs w:val="20"/>
        </w:rPr>
        <w:t>see the correlati</w:t>
      </w:r>
      <w:r w:rsidR="0019087E">
        <w:rPr>
          <w:rFonts w:ascii="Arial" w:hAnsi="Arial"/>
          <w:sz w:val="20"/>
          <w:szCs w:val="20"/>
        </w:rPr>
        <w:t>ve dependence</w:t>
      </w:r>
      <w:r w:rsidR="00F74D16" w:rsidRPr="00F74D16">
        <w:rPr>
          <w:rFonts w:ascii="Arial" w:hAnsi="Arial"/>
          <w:sz w:val="20"/>
          <w:szCs w:val="20"/>
        </w:rPr>
        <w:t xml:space="preserve"> between life expectancy and the </w:t>
      </w:r>
      <w:r w:rsidR="0019087E">
        <w:rPr>
          <w:rFonts w:ascii="Arial" w:hAnsi="Arial"/>
          <w:sz w:val="20"/>
          <w:szCs w:val="20"/>
        </w:rPr>
        <w:t>volume of GDP per capita.</w:t>
      </w:r>
      <w:r w:rsidR="00F74D16" w:rsidRPr="00F74D16">
        <w:rPr>
          <w:rFonts w:ascii="Arial" w:hAnsi="Arial"/>
          <w:sz w:val="20"/>
          <w:szCs w:val="20"/>
        </w:rPr>
        <w:t xml:space="preserve"> </w:t>
      </w:r>
      <w:r w:rsidR="0019087E">
        <w:rPr>
          <w:rFonts w:ascii="Arial" w:hAnsi="Arial"/>
          <w:sz w:val="20"/>
          <w:szCs w:val="20"/>
        </w:rPr>
        <w:t>The</w:t>
      </w:r>
      <w:r w:rsidR="00F74D16" w:rsidRPr="00F74D16">
        <w:rPr>
          <w:rFonts w:ascii="Arial" w:hAnsi="Arial"/>
          <w:sz w:val="20"/>
          <w:szCs w:val="20"/>
        </w:rPr>
        <w:t xml:space="preserve"> calculati</w:t>
      </w:r>
      <w:r w:rsidR="0019087E">
        <w:rPr>
          <w:rFonts w:ascii="Arial" w:hAnsi="Arial"/>
          <w:sz w:val="20"/>
          <w:szCs w:val="20"/>
        </w:rPr>
        <w:t>on</w:t>
      </w:r>
      <w:r w:rsidR="00F74D16" w:rsidRPr="00F74D16">
        <w:rPr>
          <w:rFonts w:ascii="Arial" w:hAnsi="Arial"/>
          <w:sz w:val="20"/>
          <w:szCs w:val="20"/>
        </w:rPr>
        <w:t xml:space="preserve"> </w:t>
      </w:r>
      <w:r w:rsidR="0019087E">
        <w:rPr>
          <w:rFonts w:ascii="Arial" w:hAnsi="Arial"/>
          <w:sz w:val="20"/>
          <w:szCs w:val="20"/>
        </w:rPr>
        <w:t xml:space="preserve">of </w:t>
      </w:r>
      <w:r w:rsidR="00F74D16" w:rsidRPr="00F74D16">
        <w:rPr>
          <w:rFonts w:ascii="Arial" w:hAnsi="Arial"/>
          <w:sz w:val="20"/>
          <w:szCs w:val="20"/>
        </w:rPr>
        <w:t xml:space="preserve">the correlation </w:t>
      </w:r>
      <w:r w:rsidR="00B558A3">
        <w:rPr>
          <w:rFonts w:ascii="Arial" w:hAnsi="Arial"/>
          <w:sz w:val="20"/>
          <w:szCs w:val="20"/>
        </w:rPr>
        <w:t>ratio is done by using simpl</w:t>
      </w:r>
      <w:r w:rsidR="0019087E">
        <w:rPr>
          <w:rFonts w:ascii="Arial" w:hAnsi="Arial"/>
          <w:sz w:val="20"/>
          <w:szCs w:val="20"/>
        </w:rPr>
        <w:t>e</w:t>
      </w:r>
      <w:r w:rsidR="00F74D16">
        <w:rPr>
          <w:rFonts w:ascii="Arial" w:hAnsi="Arial"/>
          <w:sz w:val="20"/>
          <w:szCs w:val="20"/>
        </w:rPr>
        <w:t xml:space="preserve"> correlation</w:t>
      </w:r>
      <w:r w:rsidR="00F74D16" w:rsidRPr="00F74D16">
        <w:rPr>
          <w:rFonts w:ascii="Arial" w:hAnsi="Arial"/>
          <w:sz w:val="20"/>
          <w:szCs w:val="20"/>
        </w:rPr>
        <w:t>:</w:t>
      </w:r>
    </w:p>
    <w:p w:rsidR="00F74D16" w:rsidRDefault="00F74D16" w:rsidP="00F74D16">
      <w:pPr>
        <w:spacing w:line="240" w:lineRule="auto"/>
        <w:rPr>
          <w:rFonts w:ascii="Arial" w:hAnsi="Arial"/>
          <w:sz w:val="20"/>
          <w:szCs w:val="20"/>
        </w:rPr>
      </w:pPr>
    </w:p>
    <w:p w:rsidR="00F74D16" w:rsidRPr="00F74D16" w:rsidRDefault="0019087E" w:rsidP="00B558A3">
      <w:pPr>
        <w:spacing w:after="0" w:line="240" w:lineRule="auto"/>
        <w:jc w:val="both"/>
        <w:rPr>
          <w:rFonts w:ascii="Arial" w:hAnsi="Arial"/>
          <w:sz w:val="20"/>
          <w:szCs w:val="20"/>
        </w:rPr>
      </w:pPr>
      <w:r>
        <w:rPr>
          <w:rFonts w:ascii="Arial" w:hAnsi="Arial"/>
          <w:sz w:val="20"/>
          <w:szCs w:val="20"/>
        </w:rPr>
        <w:t>For</w:t>
      </w:r>
      <w:r w:rsidR="00F74D16" w:rsidRPr="00F74D16">
        <w:rPr>
          <w:rFonts w:ascii="Arial" w:hAnsi="Arial"/>
          <w:sz w:val="20"/>
          <w:szCs w:val="20"/>
        </w:rPr>
        <w:t xml:space="preserve"> </w:t>
      </w:r>
      <w:r w:rsidR="00AF2626">
        <w:rPr>
          <w:rFonts w:ascii="Arial" w:hAnsi="Arial"/>
          <w:sz w:val="20"/>
          <w:szCs w:val="20"/>
        </w:rPr>
        <w:t xml:space="preserve">this </w:t>
      </w:r>
      <w:r w:rsidR="00F74D16" w:rsidRPr="00F74D16">
        <w:rPr>
          <w:rFonts w:ascii="Arial" w:hAnsi="Arial"/>
          <w:sz w:val="20"/>
          <w:szCs w:val="20"/>
        </w:rPr>
        <w:t xml:space="preserve">calculation was taken GDP per capita as an independent </w:t>
      </w:r>
      <w:r>
        <w:rPr>
          <w:rFonts w:ascii="Arial" w:hAnsi="Arial"/>
          <w:sz w:val="20"/>
          <w:szCs w:val="20"/>
        </w:rPr>
        <w:t>changeable value</w:t>
      </w:r>
      <w:r w:rsidR="00706DD3">
        <w:rPr>
          <w:rFonts w:ascii="Arial" w:hAnsi="Arial"/>
          <w:sz w:val="20"/>
          <w:szCs w:val="20"/>
        </w:rPr>
        <w:t xml:space="preserve"> (x)</w:t>
      </w:r>
      <w:r w:rsidR="00F74D16" w:rsidRPr="00F74D16">
        <w:rPr>
          <w:rFonts w:ascii="Arial" w:hAnsi="Arial"/>
          <w:sz w:val="20"/>
          <w:szCs w:val="20"/>
        </w:rPr>
        <w:t xml:space="preserve"> and life expectancy as dependent </w:t>
      </w:r>
      <w:r>
        <w:rPr>
          <w:rFonts w:ascii="Arial" w:hAnsi="Arial"/>
          <w:sz w:val="20"/>
          <w:szCs w:val="20"/>
        </w:rPr>
        <w:t>changeable value</w:t>
      </w:r>
      <w:r w:rsidRPr="00F74D16">
        <w:rPr>
          <w:rFonts w:ascii="Arial" w:hAnsi="Arial"/>
          <w:sz w:val="20"/>
          <w:szCs w:val="20"/>
        </w:rPr>
        <w:t xml:space="preserve"> </w:t>
      </w:r>
      <w:r w:rsidR="00706DD3">
        <w:rPr>
          <w:rFonts w:ascii="Arial" w:hAnsi="Arial"/>
          <w:sz w:val="20"/>
          <w:szCs w:val="20"/>
        </w:rPr>
        <w:t>(y</w:t>
      </w:r>
      <w:r w:rsidR="00F74D16" w:rsidRPr="00F74D16">
        <w:rPr>
          <w:rFonts w:ascii="Arial" w:hAnsi="Arial"/>
          <w:sz w:val="20"/>
          <w:szCs w:val="20"/>
        </w:rPr>
        <w:t xml:space="preserve">) , or </w:t>
      </w:r>
      <w:r w:rsidR="00AF2626">
        <w:rPr>
          <w:rFonts w:ascii="Arial" w:hAnsi="Arial"/>
          <w:sz w:val="20"/>
          <w:szCs w:val="20"/>
        </w:rPr>
        <w:t>with other words its aim was analyzing whether</w:t>
      </w:r>
      <w:r>
        <w:rPr>
          <w:rFonts w:ascii="Arial" w:hAnsi="Arial"/>
          <w:sz w:val="20"/>
          <w:szCs w:val="20"/>
        </w:rPr>
        <w:t xml:space="preserve"> the volume of the GDP per capita influences the life expectancy of the </w:t>
      </w:r>
      <w:r w:rsidR="00F74D16" w:rsidRPr="00F74D16">
        <w:rPr>
          <w:rFonts w:ascii="Arial" w:hAnsi="Arial"/>
          <w:sz w:val="20"/>
          <w:szCs w:val="20"/>
        </w:rPr>
        <w:t>population .</w:t>
      </w:r>
    </w:p>
    <w:p w:rsidR="00F74D16" w:rsidRDefault="00F74D16" w:rsidP="00B558A3">
      <w:pPr>
        <w:spacing w:after="0" w:line="240" w:lineRule="auto"/>
        <w:jc w:val="both"/>
        <w:rPr>
          <w:rFonts w:ascii="Arial" w:hAnsi="Arial"/>
          <w:sz w:val="20"/>
          <w:szCs w:val="20"/>
        </w:rPr>
      </w:pPr>
      <w:r w:rsidRPr="00F74D16">
        <w:rPr>
          <w:rFonts w:ascii="Arial" w:hAnsi="Arial"/>
          <w:sz w:val="20"/>
          <w:szCs w:val="20"/>
        </w:rPr>
        <w:t xml:space="preserve">According to </w:t>
      </w:r>
      <w:r w:rsidR="0019087E">
        <w:rPr>
          <w:rFonts w:ascii="Arial" w:hAnsi="Arial"/>
          <w:sz w:val="20"/>
          <w:szCs w:val="20"/>
        </w:rPr>
        <w:t xml:space="preserve">the </w:t>
      </w:r>
      <w:r w:rsidRPr="00F74D16">
        <w:rPr>
          <w:rFonts w:ascii="Arial" w:hAnsi="Arial"/>
          <w:sz w:val="20"/>
          <w:szCs w:val="20"/>
        </w:rPr>
        <w:t>calculations</w:t>
      </w:r>
      <w:r w:rsidR="00AF2626">
        <w:rPr>
          <w:rFonts w:ascii="Arial" w:hAnsi="Arial"/>
          <w:sz w:val="20"/>
          <w:szCs w:val="20"/>
        </w:rPr>
        <w:t>,</w:t>
      </w:r>
      <w:r w:rsidRPr="00F74D16">
        <w:rPr>
          <w:rFonts w:ascii="Arial" w:hAnsi="Arial"/>
          <w:sz w:val="20"/>
          <w:szCs w:val="20"/>
        </w:rPr>
        <w:t xml:space="preserve"> </w:t>
      </w:r>
      <w:r w:rsidR="0019087E">
        <w:rPr>
          <w:rFonts w:ascii="Arial" w:hAnsi="Arial"/>
          <w:sz w:val="20"/>
          <w:szCs w:val="20"/>
        </w:rPr>
        <w:t>the</w:t>
      </w:r>
      <w:r w:rsidRPr="00F74D16">
        <w:rPr>
          <w:rFonts w:ascii="Arial" w:hAnsi="Arial"/>
          <w:sz w:val="20"/>
          <w:szCs w:val="20"/>
        </w:rPr>
        <w:t xml:space="preserve"> correlation </w:t>
      </w:r>
      <w:r w:rsidR="0019087E">
        <w:rPr>
          <w:rFonts w:ascii="Arial" w:hAnsi="Arial"/>
          <w:sz w:val="20"/>
          <w:szCs w:val="20"/>
        </w:rPr>
        <w:t xml:space="preserve">ratio </w:t>
      </w:r>
      <w:r w:rsidRPr="00F74D16">
        <w:rPr>
          <w:rFonts w:ascii="Arial" w:hAnsi="Arial"/>
          <w:sz w:val="20"/>
          <w:szCs w:val="20"/>
        </w:rPr>
        <w:t xml:space="preserve">between GDP per capita and </w:t>
      </w:r>
      <w:r w:rsidR="0019087E">
        <w:rPr>
          <w:rFonts w:ascii="Arial" w:hAnsi="Arial"/>
          <w:sz w:val="20"/>
          <w:szCs w:val="20"/>
        </w:rPr>
        <w:t xml:space="preserve">life expectancy </w:t>
      </w:r>
      <w:r w:rsidRPr="00F74D16">
        <w:rPr>
          <w:rFonts w:ascii="Arial" w:hAnsi="Arial"/>
          <w:sz w:val="20"/>
          <w:szCs w:val="20"/>
        </w:rPr>
        <w:t>is quite high</w:t>
      </w:r>
      <w:r w:rsidR="0019087E">
        <w:rPr>
          <w:rFonts w:ascii="Arial" w:hAnsi="Arial"/>
          <w:sz w:val="20"/>
          <w:szCs w:val="20"/>
        </w:rPr>
        <w:t xml:space="preserve"> and is</w:t>
      </w:r>
      <w:r w:rsidRPr="00F74D16">
        <w:rPr>
          <w:rFonts w:ascii="Arial" w:hAnsi="Arial"/>
          <w:sz w:val="20"/>
          <w:szCs w:val="20"/>
        </w:rPr>
        <w:t xml:space="preserve"> </w:t>
      </w:r>
      <w:r w:rsidR="0019087E">
        <w:rPr>
          <w:rFonts w:ascii="Arial" w:hAnsi="Arial"/>
          <w:sz w:val="20"/>
          <w:szCs w:val="20"/>
        </w:rPr>
        <w:t>0.87</w:t>
      </w:r>
      <w:r w:rsidRPr="00F74D16">
        <w:rPr>
          <w:rFonts w:ascii="Arial" w:hAnsi="Arial"/>
          <w:sz w:val="20"/>
          <w:szCs w:val="20"/>
        </w:rPr>
        <w:t>, which means that there is strong c</w:t>
      </w:r>
      <w:r>
        <w:rPr>
          <w:rFonts w:ascii="Arial" w:hAnsi="Arial"/>
          <w:sz w:val="20"/>
          <w:szCs w:val="20"/>
        </w:rPr>
        <w:t>orrelative dependence.</w:t>
      </w:r>
    </w:p>
    <w:p w:rsidR="00835A11" w:rsidRPr="00F74D16" w:rsidRDefault="00835A11" w:rsidP="00B558A3">
      <w:pPr>
        <w:spacing w:after="0" w:line="240" w:lineRule="auto"/>
        <w:jc w:val="both"/>
        <w:rPr>
          <w:rFonts w:ascii="Arial" w:hAnsi="Arial"/>
          <w:sz w:val="20"/>
          <w:szCs w:val="20"/>
        </w:rPr>
      </w:pPr>
    </w:p>
    <w:p w:rsidR="00F74D16" w:rsidRPr="008A46BD" w:rsidRDefault="00043231" w:rsidP="008A46BD">
      <w:pPr>
        <w:spacing w:line="240" w:lineRule="auto"/>
        <w:rPr>
          <w:rFonts w:ascii="Arial" w:hAnsi="Arial"/>
          <w:sz w:val="20"/>
          <w:szCs w:val="20"/>
        </w:rPr>
      </w:pPr>
      <w:r>
        <w:rPr>
          <w:rFonts w:ascii="Arial" w:hAnsi="Arial"/>
          <w:sz w:val="20"/>
          <w:szCs w:val="20"/>
        </w:rPr>
        <w:t>Table 2:</w:t>
      </w:r>
      <w:r w:rsidR="00F74D16" w:rsidRPr="00F74D16">
        <w:rPr>
          <w:rFonts w:ascii="Arial" w:hAnsi="Arial"/>
          <w:sz w:val="20"/>
          <w:szCs w:val="20"/>
        </w:rPr>
        <w:t xml:space="preserve"> Calculation of correlation </w:t>
      </w:r>
      <w:r w:rsidR="00C3741F">
        <w:rPr>
          <w:rFonts w:ascii="Arial" w:hAnsi="Arial"/>
          <w:sz w:val="20"/>
          <w:szCs w:val="20"/>
        </w:rPr>
        <w:t xml:space="preserve">ratio </w:t>
      </w:r>
      <w:r w:rsidR="00F74D16" w:rsidRPr="00F74D16">
        <w:rPr>
          <w:rFonts w:ascii="Arial" w:hAnsi="Arial"/>
          <w:sz w:val="20"/>
          <w:szCs w:val="20"/>
        </w:rPr>
        <w:t xml:space="preserve">between GDP per capita and life expectancy of the population in </w:t>
      </w:r>
      <w:r w:rsidR="00C3741F">
        <w:rPr>
          <w:rFonts w:ascii="Arial" w:hAnsi="Arial"/>
          <w:sz w:val="20"/>
          <w:szCs w:val="20"/>
        </w:rPr>
        <w:t xml:space="preserve">Republic of </w:t>
      </w:r>
      <w:r w:rsidR="00F74D16" w:rsidRPr="00F74D16">
        <w:rPr>
          <w:rFonts w:ascii="Arial" w:hAnsi="Arial"/>
          <w:sz w:val="20"/>
          <w:szCs w:val="20"/>
        </w:rPr>
        <w:t>Macedonia</w:t>
      </w:r>
    </w:p>
    <w:tbl>
      <w:tblPr>
        <w:tblW w:w="7022" w:type="dxa"/>
        <w:jc w:val="center"/>
        <w:tblInd w:w="-254" w:type="dxa"/>
        <w:tblLayout w:type="fixed"/>
        <w:tblLook w:val="0000" w:firstRow="0" w:lastRow="0" w:firstColumn="0" w:lastColumn="0" w:noHBand="0" w:noVBand="0"/>
      </w:tblPr>
      <w:tblGrid>
        <w:gridCol w:w="1099"/>
        <w:gridCol w:w="1560"/>
        <w:gridCol w:w="1451"/>
        <w:gridCol w:w="1384"/>
        <w:gridCol w:w="1528"/>
      </w:tblGrid>
      <w:tr w:rsidR="00043231" w:rsidRPr="00043231" w:rsidTr="00043231">
        <w:trPr>
          <w:trHeight w:val="300"/>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231" w:rsidRPr="00043231" w:rsidRDefault="00043231" w:rsidP="004D7528">
            <w:pPr>
              <w:spacing w:after="0"/>
              <w:jc w:val="center"/>
              <w:rPr>
                <w:rFonts w:ascii="Arial" w:hAnsi="Arial" w:cs="Arial"/>
                <w:b/>
                <w:bCs/>
                <w:sz w:val="20"/>
                <w:szCs w:val="20"/>
              </w:rPr>
            </w:pPr>
            <w:r w:rsidRPr="00043231">
              <w:rPr>
                <w:rFonts w:ascii="Arial" w:hAnsi="Arial" w:cs="Arial"/>
                <w:b/>
                <w:bCs/>
                <w:sz w:val="20"/>
                <w:szCs w:val="20"/>
              </w:rPr>
              <w:t>Year</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043231" w:rsidRPr="00043231" w:rsidRDefault="00043231" w:rsidP="004D7528">
            <w:pPr>
              <w:spacing w:after="0"/>
              <w:jc w:val="center"/>
              <w:rPr>
                <w:rFonts w:ascii="Arial" w:hAnsi="Arial" w:cs="Arial"/>
                <w:b/>
                <w:bCs/>
                <w:sz w:val="20"/>
                <w:szCs w:val="20"/>
              </w:rPr>
            </w:pPr>
            <w:r w:rsidRPr="00043231">
              <w:rPr>
                <w:rFonts w:ascii="Arial" w:hAnsi="Arial" w:cs="Arial"/>
                <w:b/>
                <w:bCs/>
                <w:sz w:val="20"/>
                <w:szCs w:val="20"/>
              </w:rPr>
              <w:t>GDP per capita</w:t>
            </w:r>
          </w:p>
          <w:p w:rsidR="00043231" w:rsidRPr="00043231" w:rsidRDefault="00043231" w:rsidP="004D7528">
            <w:pPr>
              <w:spacing w:after="0"/>
              <w:jc w:val="center"/>
              <w:rPr>
                <w:rFonts w:ascii="Arial" w:hAnsi="Arial" w:cs="Arial"/>
                <w:bCs/>
                <w:sz w:val="20"/>
                <w:szCs w:val="20"/>
              </w:rPr>
            </w:pPr>
            <w:r w:rsidRPr="00043231">
              <w:rPr>
                <w:rFonts w:ascii="Arial" w:hAnsi="Arial" w:cs="Arial"/>
                <w:bCs/>
                <w:sz w:val="20"/>
                <w:szCs w:val="20"/>
              </w:rPr>
              <w:t>X</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043231" w:rsidRPr="00043231" w:rsidRDefault="00043231" w:rsidP="004D7528">
            <w:pPr>
              <w:spacing w:after="0"/>
              <w:jc w:val="center"/>
              <w:rPr>
                <w:rFonts w:ascii="Arial" w:hAnsi="Arial" w:cs="Arial"/>
                <w:b/>
                <w:bCs/>
                <w:sz w:val="20"/>
                <w:szCs w:val="20"/>
              </w:rPr>
            </w:pPr>
            <w:r w:rsidRPr="00043231">
              <w:rPr>
                <w:rFonts w:ascii="Arial" w:hAnsi="Arial" w:cs="Arial"/>
                <w:b/>
                <w:bCs/>
                <w:sz w:val="20"/>
                <w:szCs w:val="20"/>
              </w:rPr>
              <w:t>Life expectancy</w:t>
            </w:r>
          </w:p>
          <w:p w:rsidR="00043231" w:rsidRPr="00043231" w:rsidRDefault="00043231" w:rsidP="004D7528">
            <w:pPr>
              <w:spacing w:after="0"/>
              <w:jc w:val="center"/>
              <w:rPr>
                <w:rFonts w:ascii="Arial" w:hAnsi="Arial" w:cs="Arial"/>
                <w:bCs/>
                <w:sz w:val="20"/>
                <w:szCs w:val="20"/>
              </w:rPr>
            </w:pPr>
            <w:r w:rsidRPr="00043231">
              <w:rPr>
                <w:rFonts w:ascii="Arial" w:hAnsi="Arial" w:cs="Arial"/>
                <w:bCs/>
                <w:sz w:val="20"/>
                <w:szCs w:val="20"/>
              </w:rPr>
              <w:t>Y</w:t>
            </w:r>
          </w:p>
        </w:tc>
        <w:tc>
          <w:tcPr>
            <w:tcW w:w="1384" w:type="dxa"/>
            <w:tcBorders>
              <w:top w:val="single" w:sz="4" w:space="0" w:color="auto"/>
              <w:left w:val="single" w:sz="4" w:space="0" w:color="auto"/>
              <w:bottom w:val="single" w:sz="4" w:space="0" w:color="auto"/>
              <w:right w:val="single" w:sz="4" w:space="0" w:color="auto"/>
            </w:tcBorders>
            <w:vAlign w:val="bottom"/>
          </w:tcPr>
          <w:p w:rsidR="00043231" w:rsidRPr="00043231" w:rsidRDefault="00EA4D5E" w:rsidP="004D7528">
            <w:pPr>
              <w:spacing w:after="0"/>
              <w:jc w:val="center"/>
              <w:rPr>
                <w:rFonts w:ascii="Arial" w:hAnsi="Arial" w:cs="Arial"/>
                <w:b/>
                <w:bCs/>
                <w:sz w:val="20"/>
                <w:szCs w:val="20"/>
              </w:rPr>
            </w:pPr>
            <w:r>
              <w:rPr>
                <w:rFonts w:ascii="Arial" w:hAnsi="Arial" w:cs="Arial"/>
                <w:b/>
                <w:bCs/>
                <w:noProof/>
                <w:sz w:val="20"/>
                <w:szCs w:val="20"/>
              </w:rPr>
              <w:pict>
                <v:shape id="_x0000_s1032" type="#_x0000_t75" style="position:absolute;left:0;text-align:left;margin-left:26.5pt;margin-top:21.6pt;width:18pt;height:21pt;z-index:251663360;mso-position-horizontal-relative:text;mso-position-vertical-relative:text">
                  <v:imagedata r:id="rId12" o:title=""/>
                </v:shape>
                <o:OLEObject Type="Embed" ProgID="Equation.3" ShapeID="_x0000_s1032" DrawAspect="Content" ObjectID="_1449897680" r:id="rId13"/>
              </w:pict>
            </w:r>
            <w:r w:rsidR="00043231" w:rsidRPr="00043231">
              <w:rPr>
                <w:rFonts w:ascii="Arial" w:hAnsi="Arial" w:cs="Arial"/>
                <w:b/>
                <w:bCs/>
                <w:sz w:val="20"/>
                <w:szCs w:val="20"/>
              </w:rPr>
              <w:t>Regression line</w:t>
            </w:r>
          </w:p>
          <w:p w:rsidR="00043231" w:rsidRPr="00043231" w:rsidRDefault="00043231" w:rsidP="004D7528">
            <w:pPr>
              <w:spacing w:after="0"/>
              <w:jc w:val="center"/>
              <w:rPr>
                <w:rFonts w:ascii="Arial" w:hAnsi="Arial" w:cs="Arial"/>
                <w:b/>
                <w:bCs/>
                <w:sz w:val="20"/>
                <w:szCs w:val="20"/>
              </w:rPr>
            </w:pPr>
          </w:p>
        </w:tc>
        <w:tc>
          <w:tcPr>
            <w:tcW w:w="1528" w:type="dxa"/>
            <w:tcBorders>
              <w:top w:val="single" w:sz="4" w:space="0" w:color="auto"/>
              <w:left w:val="single" w:sz="4" w:space="0" w:color="auto"/>
              <w:bottom w:val="single" w:sz="4" w:space="0" w:color="auto"/>
              <w:right w:val="single" w:sz="4" w:space="0" w:color="auto"/>
            </w:tcBorders>
            <w:vAlign w:val="bottom"/>
          </w:tcPr>
          <w:p w:rsidR="00043231" w:rsidRPr="00043231" w:rsidRDefault="00043231" w:rsidP="004D7528">
            <w:pPr>
              <w:spacing w:after="0"/>
              <w:jc w:val="center"/>
              <w:rPr>
                <w:rFonts w:ascii="Arial" w:hAnsi="Arial" w:cs="Arial"/>
                <w:b/>
                <w:bCs/>
                <w:sz w:val="20"/>
                <w:szCs w:val="20"/>
              </w:rPr>
            </w:pPr>
            <w:r w:rsidRPr="00043231">
              <w:rPr>
                <w:rFonts w:ascii="Arial" w:hAnsi="Arial" w:cs="Arial"/>
                <w:b/>
                <w:bCs/>
                <w:sz w:val="20"/>
                <w:szCs w:val="20"/>
              </w:rPr>
              <w:t>Residual values</w:t>
            </w:r>
          </w:p>
          <w:p w:rsidR="00043231" w:rsidRPr="00043231" w:rsidRDefault="00043231" w:rsidP="004D7528">
            <w:pPr>
              <w:spacing w:after="0"/>
              <w:jc w:val="center"/>
              <w:rPr>
                <w:rFonts w:ascii="Arial" w:hAnsi="Arial" w:cs="Arial"/>
                <w:b/>
                <w:bCs/>
                <w:sz w:val="20"/>
                <w:szCs w:val="20"/>
              </w:rPr>
            </w:pPr>
            <w:r w:rsidRPr="00043231">
              <w:rPr>
                <w:rFonts w:ascii="Arial" w:hAnsi="Arial" w:cs="Arial"/>
                <w:b/>
                <w:position w:val="-12"/>
                <w:sz w:val="20"/>
                <w:szCs w:val="20"/>
              </w:rPr>
              <w:object w:dxaOrig="279" w:dyaOrig="380">
                <v:shape id="_x0000_i1025" type="#_x0000_t75" style="width:14.25pt;height:18.75pt" o:ole="">
                  <v:imagedata r:id="rId14" o:title=""/>
                </v:shape>
                <o:OLEObject Type="Embed" ProgID="Equation.3" ShapeID="_x0000_i1025" DrawAspect="Content" ObjectID="_1449897677" r:id="rId15"/>
              </w:object>
            </w:r>
          </w:p>
        </w:tc>
      </w:tr>
      <w:tr w:rsidR="00835A11" w:rsidRPr="00043231" w:rsidTr="00043231">
        <w:trPr>
          <w:trHeight w:val="300"/>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1993</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1.311,60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71,8</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1.126,87</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3.4124,49</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1994</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1.730,55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71,9</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1.296,75</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188.181,84</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1995</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2.266,06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72,1</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1.469,09</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635.169,03</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1996</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2.241,02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72,3</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1.643,70</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356.783,04</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1997</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1.883,67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72,4</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1.820,34</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4.011,58</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1998</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1.792,33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72,6</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1.997,28</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42.006,07</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1999</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1.835,56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72,7</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2.173,97</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114.517,75</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2000</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1.785,33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72,9</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2.352,14</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321.282,69</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2001</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1.704,78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73,1</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2.530,43</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681.694,93</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2002</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1.874,79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73,2</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2.709,99</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695.897,91</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2003</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2.345,49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73,4</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2.888,56</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294.930,46</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2004</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2.712,32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73,6</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3.068,02</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126.523,13</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2005</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2.936,94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73,7</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3.248,92</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97.330,60</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2006</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3.211,09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73,9</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3.432,70</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49.111,76</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2007</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3.984,44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74,1</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3.619,12</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133.456,69</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2008</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4.791,19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74,3</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3.808,58</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965.518,49</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2009</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4.528,25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74,4</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3.998,31</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280.844,41</w:t>
            </w:r>
          </w:p>
        </w:tc>
      </w:tr>
      <w:tr w:rsidR="00835A11" w:rsidRPr="00043231" w:rsidTr="00043231">
        <w:trPr>
          <w:trHeight w:val="285"/>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sz w:val="20"/>
                <w:szCs w:val="20"/>
              </w:rPr>
            </w:pPr>
            <w:r w:rsidRPr="00043231">
              <w:rPr>
                <w:rFonts w:ascii="Arial" w:hAnsi="Arial" w:cs="Arial"/>
                <w:sz w:val="20"/>
                <w:szCs w:val="20"/>
              </w:rPr>
              <w:t>2010</w:t>
            </w:r>
          </w:p>
        </w:tc>
        <w:tc>
          <w:tcPr>
            <w:tcW w:w="1560" w:type="dxa"/>
            <w:tcBorders>
              <w:top w:val="single" w:sz="4" w:space="0" w:color="auto"/>
              <w:left w:val="single" w:sz="4" w:space="0" w:color="333399"/>
              <w:bottom w:val="single" w:sz="4" w:space="0" w:color="auto"/>
              <w:right w:val="single" w:sz="4" w:space="0" w:color="auto"/>
            </w:tcBorders>
            <w:shd w:val="clear" w:color="auto" w:fill="auto"/>
            <w:vAlign w:val="center"/>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4.434,49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74,6</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4.186,12</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61.687,92</w:t>
            </w:r>
          </w:p>
        </w:tc>
      </w:tr>
      <w:tr w:rsidR="00835A11" w:rsidRPr="00043231" w:rsidTr="00043231">
        <w:trPr>
          <w:trHeight w:val="291"/>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center"/>
              <w:rPr>
                <w:rFonts w:ascii="Arial" w:hAnsi="Arial" w:cs="Arial"/>
                <w:bCs/>
                <w:sz w:val="20"/>
                <w:szCs w:val="20"/>
              </w:rPr>
            </w:pPr>
            <w:r w:rsidRPr="00043231">
              <w:rPr>
                <w:rFonts w:ascii="Arial" w:hAnsi="Arial" w:cs="Arial"/>
                <w:bCs/>
                <w:sz w:val="20"/>
                <w:szCs w:val="20"/>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47.369,90</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1.317,07</w:t>
            </w:r>
          </w:p>
        </w:tc>
        <w:tc>
          <w:tcPr>
            <w:tcW w:w="1384"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bCs/>
                <w:sz w:val="20"/>
                <w:szCs w:val="20"/>
              </w:rPr>
            </w:pPr>
            <w:r w:rsidRPr="00043231">
              <w:rPr>
                <w:rFonts w:ascii="Arial" w:hAnsi="Arial" w:cs="Arial"/>
                <w:bCs/>
                <w:sz w:val="20"/>
                <w:szCs w:val="20"/>
              </w:rPr>
              <w:t>47.369,90</w:t>
            </w:r>
          </w:p>
        </w:tc>
        <w:tc>
          <w:tcPr>
            <w:tcW w:w="1528" w:type="dxa"/>
            <w:tcBorders>
              <w:top w:val="single" w:sz="4" w:space="0" w:color="auto"/>
              <w:left w:val="single" w:sz="4" w:space="0" w:color="auto"/>
              <w:bottom w:val="single" w:sz="4" w:space="0" w:color="auto"/>
              <w:right w:val="single" w:sz="4" w:space="0" w:color="auto"/>
            </w:tcBorders>
            <w:vAlign w:val="bottom"/>
          </w:tcPr>
          <w:p w:rsidR="00835A11" w:rsidRPr="00043231" w:rsidRDefault="00835A11" w:rsidP="004D7528">
            <w:pPr>
              <w:spacing w:after="0"/>
              <w:jc w:val="right"/>
              <w:rPr>
                <w:rFonts w:ascii="Arial" w:hAnsi="Arial" w:cs="Arial"/>
                <w:sz w:val="20"/>
                <w:szCs w:val="20"/>
              </w:rPr>
            </w:pPr>
            <w:r w:rsidRPr="00043231">
              <w:rPr>
                <w:rFonts w:ascii="Arial" w:hAnsi="Arial" w:cs="Arial"/>
                <w:bCs/>
                <w:sz w:val="20"/>
                <w:szCs w:val="20"/>
              </w:rPr>
              <w:t>5.083.072,80</w:t>
            </w:r>
          </w:p>
        </w:tc>
      </w:tr>
    </w:tbl>
    <w:p w:rsidR="002B001C" w:rsidRDefault="00043231" w:rsidP="002B001C">
      <w:pPr>
        <w:spacing w:before="240" w:after="0" w:line="240" w:lineRule="auto"/>
        <w:jc w:val="both"/>
        <w:rPr>
          <w:rFonts w:ascii="Arial" w:hAnsi="Arial"/>
          <w:sz w:val="20"/>
          <w:szCs w:val="20"/>
        </w:rPr>
      </w:pPr>
      <w:r>
        <w:rPr>
          <w:rFonts w:ascii="Arial" w:hAnsi="Arial"/>
          <w:sz w:val="20"/>
          <w:szCs w:val="20"/>
        </w:rPr>
        <w:t>The determination ratio is almost 0,755 which means that the volume of GDP per capita influences 75% to the life expectancy of the population and 25% have influence other factors. That is a fact because higher life standard provides more comfortable life and improves the life quality of the population (proper health care, regular vacations, consuming healthy food and so on).</w:t>
      </w:r>
    </w:p>
    <w:p w:rsidR="002B001C" w:rsidRDefault="002B001C" w:rsidP="002B001C">
      <w:pPr>
        <w:spacing w:before="240" w:after="0" w:line="240" w:lineRule="auto"/>
        <w:jc w:val="both"/>
        <w:rPr>
          <w:rFonts w:ascii="Arial" w:hAnsi="Arial"/>
          <w:sz w:val="20"/>
          <w:szCs w:val="20"/>
        </w:rPr>
      </w:pPr>
    </w:p>
    <w:p w:rsidR="00C3741F" w:rsidRPr="00EA1C2B" w:rsidRDefault="00C3741F" w:rsidP="00043231">
      <w:pPr>
        <w:spacing w:after="0"/>
        <w:ind w:firstLine="720"/>
        <w:jc w:val="center"/>
        <w:rPr>
          <w:rFonts w:ascii="Arial" w:hAnsi="Arial"/>
          <w:b/>
          <w:sz w:val="20"/>
          <w:szCs w:val="20"/>
        </w:rPr>
      </w:pPr>
      <w:r w:rsidRPr="00EA1C2B">
        <w:rPr>
          <w:rFonts w:ascii="Arial" w:hAnsi="Arial"/>
          <w:b/>
          <w:sz w:val="20"/>
          <w:szCs w:val="20"/>
        </w:rPr>
        <w:t>Correlation and determnation ratio between GDP per capita and life expectancy of</w:t>
      </w:r>
    </w:p>
    <w:p w:rsidR="00C3741F" w:rsidRDefault="00C3741F" w:rsidP="00043231">
      <w:pPr>
        <w:spacing w:after="0"/>
        <w:jc w:val="center"/>
        <w:rPr>
          <w:rFonts w:ascii="Arial" w:hAnsi="Arial"/>
          <w:b/>
          <w:sz w:val="20"/>
          <w:szCs w:val="20"/>
        </w:rPr>
      </w:pPr>
      <w:r w:rsidRPr="00EA1C2B">
        <w:rPr>
          <w:rFonts w:ascii="Arial" w:hAnsi="Arial"/>
          <w:b/>
          <w:sz w:val="20"/>
          <w:szCs w:val="20"/>
        </w:rPr>
        <w:t xml:space="preserve">population in </w:t>
      </w:r>
      <w:r w:rsidR="00A318AD" w:rsidRPr="00EA1C2B">
        <w:rPr>
          <w:rFonts w:ascii="Arial" w:hAnsi="Arial"/>
          <w:b/>
          <w:sz w:val="20"/>
          <w:szCs w:val="20"/>
        </w:rPr>
        <w:t>the EU countries</w:t>
      </w:r>
    </w:p>
    <w:p w:rsidR="002B001C" w:rsidRPr="00EA1C2B" w:rsidRDefault="002B001C" w:rsidP="00043231">
      <w:pPr>
        <w:spacing w:after="0"/>
        <w:jc w:val="center"/>
        <w:rPr>
          <w:rFonts w:ascii="Arial" w:hAnsi="Arial"/>
          <w:b/>
          <w:sz w:val="20"/>
          <w:szCs w:val="20"/>
        </w:rPr>
      </w:pPr>
    </w:p>
    <w:p w:rsidR="00A318AD" w:rsidRDefault="00EA1C2B" w:rsidP="00043231">
      <w:pPr>
        <w:spacing w:after="0" w:line="240" w:lineRule="auto"/>
        <w:jc w:val="both"/>
        <w:rPr>
          <w:rFonts w:ascii="Arial" w:hAnsi="Arial"/>
          <w:sz w:val="20"/>
          <w:szCs w:val="20"/>
        </w:rPr>
      </w:pPr>
      <w:r>
        <w:rPr>
          <w:rFonts w:ascii="Arial" w:hAnsi="Arial"/>
          <w:sz w:val="20"/>
          <w:szCs w:val="20"/>
        </w:rPr>
        <w:t>With the same method is calculated correlative depende</w:t>
      </w:r>
      <w:r w:rsidR="005563CE">
        <w:rPr>
          <w:rFonts w:ascii="Arial" w:hAnsi="Arial"/>
          <w:sz w:val="20"/>
          <w:szCs w:val="20"/>
        </w:rPr>
        <w:t>n</w:t>
      </w:r>
      <w:r>
        <w:rPr>
          <w:rFonts w:ascii="Arial" w:hAnsi="Arial"/>
          <w:sz w:val="20"/>
          <w:szCs w:val="20"/>
        </w:rPr>
        <w:t>ce between average life expectancy and average volume of GDP per capita in the EU countries.</w:t>
      </w:r>
    </w:p>
    <w:p w:rsidR="00F74D16" w:rsidRDefault="00EA1C2B" w:rsidP="00043231">
      <w:pPr>
        <w:spacing w:after="0" w:line="240" w:lineRule="auto"/>
        <w:jc w:val="both"/>
        <w:rPr>
          <w:rFonts w:ascii="Arial" w:hAnsi="Arial"/>
          <w:sz w:val="20"/>
          <w:szCs w:val="20"/>
        </w:rPr>
      </w:pPr>
      <w:r>
        <w:rPr>
          <w:rFonts w:ascii="Arial" w:hAnsi="Arial"/>
          <w:sz w:val="20"/>
          <w:szCs w:val="20"/>
        </w:rPr>
        <w:t>The correlations show that correlation ratio between GDP per capita and life expectancy in the EU countries is quite high and is 0,901, which means that there is very correlativ</w:t>
      </w:r>
      <w:r w:rsidR="005563CE">
        <w:rPr>
          <w:rFonts w:ascii="Arial" w:hAnsi="Arial"/>
          <w:sz w:val="20"/>
          <w:szCs w:val="20"/>
        </w:rPr>
        <w:t>e</w:t>
      </w:r>
      <w:r>
        <w:rPr>
          <w:rFonts w:ascii="Arial" w:hAnsi="Arial"/>
          <w:sz w:val="20"/>
          <w:szCs w:val="20"/>
        </w:rPr>
        <w:t xml:space="preserve"> dependence.</w:t>
      </w:r>
      <w:r w:rsidR="00F74D16" w:rsidRPr="00F74D16">
        <w:rPr>
          <w:rFonts w:ascii="Arial" w:hAnsi="Arial"/>
          <w:sz w:val="20"/>
          <w:szCs w:val="20"/>
        </w:rPr>
        <w:t xml:space="preserve"> </w:t>
      </w:r>
    </w:p>
    <w:p w:rsidR="002B001C" w:rsidRDefault="002B001C" w:rsidP="00F74D16">
      <w:pPr>
        <w:spacing w:line="240" w:lineRule="auto"/>
        <w:rPr>
          <w:rFonts w:ascii="Arial" w:hAnsi="Arial"/>
          <w:sz w:val="20"/>
          <w:szCs w:val="20"/>
        </w:rPr>
      </w:pPr>
    </w:p>
    <w:p w:rsidR="00F74D16" w:rsidRDefault="00F74D16" w:rsidP="00F74D16">
      <w:pPr>
        <w:spacing w:line="240" w:lineRule="auto"/>
        <w:rPr>
          <w:rFonts w:ascii="Arial" w:hAnsi="Arial"/>
          <w:sz w:val="20"/>
          <w:szCs w:val="20"/>
        </w:rPr>
      </w:pPr>
      <w:r w:rsidRPr="00F74D16">
        <w:rPr>
          <w:rFonts w:ascii="Arial" w:hAnsi="Arial"/>
          <w:sz w:val="20"/>
          <w:szCs w:val="20"/>
        </w:rPr>
        <w:t xml:space="preserve">Table </w:t>
      </w:r>
      <w:r w:rsidR="00C3741F">
        <w:rPr>
          <w:rFonts w:ascii="Arial" w:hAnsi="Arial"/>
          <w:sz w:val="20"/>
          <w:szCs w:val="20"/>
        </w:rPr>
        <w:t>3</w:t>
      </w:r>
      <w:r w:rsidR="00EE7225">
        <w:rPr>
          <w:rFonts w:ascii="Arial" w:hAnsi="Arial"/>
          <w:sz w:val="20"/>
          <w:szCs w:val="20"/>
        </w:rPr>
        <w:t>:</w:t>
      </w:r>
      <w:r w:rsidRPr="00F74D16">
        <w:rPr>
          <w:rFonts w:ascii="Arial" w:hAnsi="Arial"/>
          <w:sz w:val="20"/>
          <w:szCs w:val="20"/>
        </w:rPr>
        <w:t xml:space="preserve"> Calculation of correlation </w:t>
      </w:r>
      <w:r w:rsidR="00C3741F">
        <w:rPr>
          <w:rFonts w:ascii="Arial" w:hAnsi="Arial"/>
          <w:sz w:val="20"/>
          <w:szCs w:val="20"/>
        </w:rPr>
        <w:t xml:space="preserve">ratio </w:t>
      </w:r>
      <w:r w:rsidRPr="00F74D16">
        <w:rPr>
          <w:rFonts w:ascii="Arial" w:hAnsi="Arial"/>
          <w:sz w:val="20"/>
          <w:szCs w:val="20"/>
        </w:rPr>
        <w:t xml:space="preserve">between the average GDP per capita and life </w:t>
      </w:r>
      <w:r w:rsidR="00EE7225">
        <w:rPr>
          <w:rFonts w:ascii="Arial" w:hAnsi="Arial"/>
          <w:sz w:val="20"/>
          <w:szCs w:val="20"/>
        </w:rPr>
        <w:t xml:space="preserve">expectancy of the population in </w:t>
      </w:r>
      <w:r w:rsidRPr="00F74D16">
        <w:rPr>
          <w:rFonts w:ascii="Arial" w:hAnsi="Arial"/>
          <w:sz w:val="20"/>
          <w:szCs w:val="20"/>
        </w:rPr>
        <w:t>the EU</w:t>
      </w:r>
      <w:r w:rsidR="00C3741F">
        <w:rPr>
          <w:rFonts w:ascii="Arial" w:hAnsi="Arial"/>
          <w:sz w:val="20"/>
          <w:szCs w:val="20"/>
        </w:rPr>
        <w:t xml:space="preserve"> countries</w:t>
      </w:r>
    </w:p>
    <w:tbl>
      <w:tblPr>
        <w:tblW w:w="7185" w:type="dxa"/>
        <w:jc w:val="center"/>
        <w:tblInd w:w="-185" w:type="dxa"/>
        <w:tblLayout w:type="fixed"/>
        <w:tblLook w:val="0000" w:firstRow="0" w:lastRow="0" w:firstColumn="0" w:lastColumn="0" w:noHBand="0" w:noVBand="0"/>
      </w:tblPr>
      <w:tblGrid>
        <w:gridCol w:w="1181"/>
        <w:gridCol w:w="1452"/>
        <w:gridCol w:w="1433"/>
        <w:gridCol w:w="1418"/>
        <w:gridCol w:w="1701"/>
      </w:tblGrid>
      <w:tr w:rsidR="004D7528" w:rsidRPr="004D7528" w:rsidTr="004D7528">
        <w:trPr>
          <w:trHeight w:val="300"/>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28" w:rsidRPr="004D7528" w:rsidRDefault="004D7528" w:rsidP="004D7528">
            <w:pPr>
              <w:spacing w:after="0" w:line="240" w:lineRule="auto"/>
              <w:jc w:val="center"/>
              <w:rPr>
                <w:rFonts w:ascii="Arial" w:hAnsi="Arial" w:cs="Arial"/>
                <w:b/>
                <w:bCs/>
                <w:sz w:val="20"/>
                <w:szCs w:val="20"/>
              </w:rPr>
            </w:pPr>
            <w:r w:rsidRPr="004D7528">
              <w:rPr>
                <w:rFonts w:ascii="Arial" w:hAnsi="Arial" w:cs="Arial"/>
                <w:b/>
                <w:bCs/>
                <w:sz w:val="20"/>
                <w:szCs w:val="20"/>
              </w:rPr>
              <w:t>Year</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center"/>
          </w:tcPr>
          <w:p w:rsidR="004D7528" w:rsidRPr="004D7528" w:rsidRDefault="004D7528" w:rsidP="004D7528">
            <w:pPr>
              <w:spacing w:after="0" w:line="240" w:lineRule="auto"/>
              <w:jc w:val="center"/>
              <w:rPr>
                <w:rFonts w:ascii="Arial" w:hAnsi="Arial" w:cs="Arial"/>
                <w:b/>
                <w:bCs/>
                <w:sz w:val="20"/>
                <w:szCs w:val="20"/>
              </w:rPr>
            </w:pPr>
            <w:r w:rsidRPr="004D7528">
              <w:rPr>
                <w:rFonts w:ascii="Arial" w:hAnsi="Arial" w:cs="Arial"/>
                <w:b/>
                <w:bCs/>
                <w:sz w:val="20"/>
                <w:szCs w:val="20"/>
              </w:rPr>
              <w:t>GDP per capita</w:t>
            </w:r>
          </w:p>
          <w:p w:rsidR="004D7528" w:rsidRPr="004D7528" w:rsidRDefault="004D7528" w:rsidP="004D7528">
            <w:pPr>
              <w:spacing w:after="0" w:line="240" w:lineRule="auto"/>
              <w:jc w:val="center"/>
              <w:rPr>
                <w:rFonts w:ascii="Arial" w:hAnsi="Arial" w:cs="Arial"/>
                <w:bCs/>
                <w:sz w:val="20"/>
                <w:szCs w:val="20"/>
              </w:rPr>
            </w:pPr>
            <w:r w:rsidRPr="004D7528">
              <w:rPr>
                <w:rFonts w:ascii="Arial" w:hAnsi="Arial" w:cs="Arial"/>
                <w:bCs/>
                <w:sz w:val="20"/>
                <w:szCs w:val="20"/>
              </w:rPr>
              <w:t>X</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4D7528" w:rsidRPr="004D7528" w:rsidRDefault="004D7528" w:rsidP="004D7528">
            <w:pPr>
              <w:spacing w:after="0" w:line="240" w:lineRule="auto"/>
              <w:jc w:val="center"/>
              <w:rPr>
                <w:rFonts w:ascii="Arial" w:hAnsi="Arial" w:cs="Arial"/>
                <w:b/>
                <w:bCs/>
                <w:sz w:val="20"/>
                <w:szCs w:val="20"/>
              </w:rPr>
            </w:pPr>
            <w:r w:rsidRPr="004D7528">
              <w:rPr>
                <w:rFonts w:ascii="Arial" w:hAnsi="Arial" w:cs="Arial"/>
                <w:b/>
                <w:bCs/>
                <w:sz w:val="20"/>
                <w:szCs w:val="20"/>
              </w:rPr>
              <w:t>Life expectancy</w:t>
            </w:r>
          </w:p>
          <w:p w:rsidR="004D7528" w:rsidRPr="004D7528" w:rsidRDefault="004D7528" w:rsidP="004D7528">
            <w:pPr>
              <w:spacing w:after="0" w:line="240" w:lineRule="auto"/>
              <w:jc w:val="center"/>
              <w:rPr>
                <w:rFonts w:ascii="Arial" w:hAnsi="Arial" w:cs="Arial"/>
                <w:bCs/>
                <w:sz w:val="20"/>
                <w:szCs w:val="20"/>
              </w:rPr>
            </w:pPr>
            <w:r w:rsidRPr="004D7528">
              <w:rPr>
                <w:rFonts w:ascii="Arial" w:hAnsi="Arial" w:cs="Arial"/>
                <w:bCs/>
                <w:sz w:val="20"/>
                <w:szCs w:val="20"/>
              </w:rPr>
              <w:t>Y</w:t>
            </w:r>
          </w:p>
        </w:tc>
        <w:tc>
          <w:tcPr>
            <w:tcW w:w="1418" w:type="dxa"/>
            <w:tcBorders>
              <w:top w:val="single" w:sz="4" w:space="0" w:color="auto"/>
              <w:left w:val="single" w:sz="4" w:space="0" w:color="auto"/>
              <w:bottom w:val="single" w:sz="4" w:space="0" w:color="auto"/>
              <w:right w:val="single" w:sz="4" w:space="0" w:color="auto"/>
            </w:tcBorders>
            <w:vAlign w:val="bottom"/>
          </w:tcPr>
          <w:p w:rsidR="004D7528" w:rsidRPr="004D7528" w:rsidRDefault="00EA4D5E" w:rsidP="004D7528">
            <w:pPr>
              <w:spacing w:after="0" w:line="240" w:lineRule="auto"/>
              <w:jc w:val="center"/>
              <w:rPr>
                <w:rFonts w:ascii="Arial" w:hAnsi="Arial" w:cs="Arial"/>
                <w:b/>
                <w:bCs/>
                <w:sz w:val="20"/>
                <w:szCs w:val="20"/>
              </w:rPr>
            </w:pPr>
            <w:r>
              <w:rPr>
                <w:rFonts w:ascii="Arial" w:hAnsi="Arial" w:cs="Arial"/>
                <w:b/>
                <w:bCs/>
                <w:noProof/>
                <w:sz w:val="20"/>
                <w:szCs w:val="20"/>
              </w:rPr>
              <w:pict>
                <v:shape id="_x0000_s1034" type="#_x0000_t75" style="position:absolute;left:0;text-align:left;margin-left:26.5pt;margin-top:21.6pt;width:18pt;height:21pt;z-index:251665408;mso-position-horizontal-relative:text;mso-position-vertical-relative:text">
                  <v:imagedata r:id="rId12" o:title=""/>
                </v:shape>
                <o:OLEObject Type="Embed" ProgID="Equation.3" ShapeID="_x0000_s1034" DrawAspect="Content" ObjectID="_1449897681" r:id="rId16"/>
              </w:pict>
            </w:r>
            <w:r w:rsidR="004D7528" w:rsidRPr="004D7528">
              <w:rPr>
                <w:rFonts w:ascii="Arial" w:hAnsi="Arial" w:cs="Arial"/>
                <w:b/>
                <w:bCs/>
                <w:sz w:val="20"/>
                <w:szCs w:val="20"/>
              </w:rPr>
              <w:t>Regression line</w:t>
            </w:r>
          </w:p>
          <w:p w:rsidR="004D7528" w:rsidRPr="004D7528" w:rsidRDefault="004D7528" w:rsidP="004D7528">
            <w:pPr>
              <w:spacing w:after="0" w:line="240" w:lineRule="auto"/>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D7528" w:rsidRPr="004D7528" w:rsidRDefault="004D7528" w:rsidP="004D7528">
            <w:pPr>
              <w:spacing w:after="0" w:line="240" w:lineRule="auto"/>
              <w:jc w:val="center"/>
              <w:rPr>
                <w:rFonts w:ascii="Arial" w:hAnsi="Arial" w:cs="Arial"/>
                <w:b/>
                <w:bCs/>
                <w:sz w:val="20"/>
                <w:szCs w:val="20"/>
              </w:rPr>
            </w:pPr>
            <w:r w:rsidRPr="004D7528">
              <w:rPr>
                <w:rFonts w:ascii="Arial" w:hAnsi="Arial" w:cs="Arial"/>
                <w:b/>
                <w:bCs/>
                <w:sz w:val="20"/>
                <w:szCs w:val="20"/>
              </w:rPr>
              <w:t>Residual values</w:t>
            </w:r>
          </w:p>
          <w:p w:rsidR="004D7528" w:rsidRPr="004D7528" w:rsidRDefault="004D7528" w:rsidP="004D7528">
            <w:pPr>
              <w:spacing w:after="0" w:line="240" w:lineRule="auto"/>
              <w:jc w:val="center"/>
              <w:rPr>
                <w:rFonts w:ascii="Arial" w:hAnsi="Arial" w:cs="Arial"/>
                <w:b/>
                <w:bCs/>
                <w:sz w:val="20"/>
                <w:szCs w:val="20"/>
              </w:rPr>
            </w:pPr>
            <w:r w:rsidRPr="004D7528">
              <w:rPr>
                <w:rFonts w:ascii="Arial" w:hAnsi="Arial" w:cs="Arial"/>
                <w:b/>
                <w:position w:val="-12"/>
                <w:sz w:val="20"/>
                <w:szCs w:val="20"/>
              </w:rPr>
              <w:object w:dxaOrig="279" w:dyaOrig="380">
                <v:shape id="_x0000_i1026" type="#_x0000_t75" style="width:14.25pt;height:18.75pt" o:ole="">
                  <v:imagedata r:id="rId14" o:title=""/>
                </v:shape>
                <o:OLEObject Type="Embed" ProgID="Equation.3" ShapeID="_x0000_i1026" DrawAspect="Content" ObjectID="_1449897678" r:id="rId17"/>
              </w:object>
            </w:r>
          </w:p>
        </w:tc>
      </w:tr>
      <w:tr w:rsidR="00EE7225" w:rsidRPr="004D7528" w:rsidTr="004D7528">
        <w:trPr>
          <w:trHeight w:val="300"/>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1993</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15.748,91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75,4</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13.960,10</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3.199.860,52</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1994</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16.714,31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75,7</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15.340,71</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1.886.797,49</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1995</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19.173,49</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75,8</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15.913,09</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10.630.167,86</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1996</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19.535,31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76,1</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17.047,63</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6.188.534,25</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1997</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18.395,85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76,4</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18.417,52</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469,44</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1998</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19.008,73</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76,6</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19.281,30</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74.292,80</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1999</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18.966,59</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76,8</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20.317,38</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1.824.636,65</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2000</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17.541,93</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77,2</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22.020,30</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20.055.811,78</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2001</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17.716,29</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77,5</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23.549,89</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34.030.881,18</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2002</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19.261,87</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77,6</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24.148,67</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23.880.856,59</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2003</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23.388,77</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77,7</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24.756,98</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1.871.997,83</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2004</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26.878,28</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78,2</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26.886,36</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65,19</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2005</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27.975,69</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78,4</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27.610,37</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133.457,68</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2006</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29.699,36</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78,7</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29.199,93</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249.428,99</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2007</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34.187,80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78,9</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30.178,65</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16.073.297,83</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2008</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36.588,34</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79,1</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31.131,45</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29.777.622,05</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2009</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32.584,00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79,4</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32.255,78</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107.730,36</w:t>
            </w:r>
          </w:p>
        </w:tc>
      </w:tr>
      <w:tr w:rsidR="00EE7225" w:rsidRPr="004D7528" w:rsidTr="004D7528">
        <w:trPr>
          <w:trHeight w:val="285"/>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2010</w:t>
            </w:r>
          </w:p>
        </w:tc>
        <w:tc>
          <w:tcPr>
            <w:tcW w:w="1452" w:type="dxa"/>
            <w:tcBorders>
              <w:top w:val="single" w:sz="4" w:space="0" w:color="auto"/>
              <w:left w:val="single" w:sz="4" w:space="0" w:color="333399"/>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sz w:val="20"/>
                <w:szCs w:val="20"/>
              </w:rPr>
            </w:pPr>
            <w:r w:rsidRPr="004D7528">
              <w:rPr>
                <w:rFonts w:ascii="Arial" w:hAnsi="Arial" w:cs="Arial"/>
                <w:sz w:val="20"/>
                <w:szCs w:val="20"/>
              </w:rPr>
              <w:t>32.198,55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79,6</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33.547,97</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Cs/>
                <w:sz w:val="20"/>
                <w:szCs w:val="20"/>
              </w:rPr>
            </w:pPr>
            <w:r w:rsidRPr="004D7528">
              <w:rPr>
                <w:rFonts w:ascii="Arial" w:hAnsi="Arial" w:cs="Arial"/>
                <w:bCs/>
                <w:sz w:val="20"/>
                <w:szCs w:val="20"/>
              </w:rPr>
              <w:t>1.820.931,16</w:t>
            </w:r>
          </w:p>
        </w:tc>
      </w:tr>
      <w:tr w:rsidR="00EE7225" w:rsidRPr="004D7528" w:rsidTr="004D7528">
        <w:trPr>
          <w:trHeight w:val="291"/>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2B001C" w:rsidP="004D7528">
            <w:pPr>
              <w:spacing w:after="0" w:line="240" w:lineRule="auto"/>
              <w:jc w:val="center"/>
              <w:rPr>
                <w:rFonts w:ascii="Arial" w:hAnsi="Arial" w:cs="Arial"/>
                <w:bCs/>
                <w:sz w:val="20"/>
                <w:szCs w:val="20"/>
              </w:rPr>
            </w:pPr>
            <w:r>
              <w:rPr>
                <w:rFonts w:ascii="Arial" w:hAnsi="Arial" w:cs="Arial"/>
                <w:bCs/>
                <w:sz w:val="20"/>
                <w:szCs w:val="20"/>
              </w:rPr>
              <w:t>Total</w:t>
            </w:r>
            <w:r w:rsidR="00EE7225" w:rsidRPr="004D7528">
              <w:rPr>
                <w:rFonts w:ascii="Arial" w:hAnsi="Arial" w:cs="Arial"/>
                <w:bCs/>
                <w:sz w:val="20"/>
                <w:szCs w:val="20"/>
              </w:rPr>
              <w:t>:</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b/>
                <w:bCs/>
                <w:sz w:val="20"/>
                <w:szCs w:val="20"/>
              </w:rPr>
            </w:pPr>
            <w:r w:rsidRPr="004D7528">
              <w:rPr>
                <w:rFonts w:ascii="Arial" w:hAnsi="Arial" w:cs="Arial"/>
                <w:b/>
                <w:bCs/>
                <w:sz w:val="20"/>
                <w:szCs w:val="20"/>
              </w:rPr>
              <w:t>425.564,06</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225" w:rsidRPr="004D7528" w:rsidRDefault="00EE7225" w:rsidP="004D7528">
            <w:pPr>
              <w:spacing w:after="0" w:line="240" w:lineRule="auto"/>
              <w:jc w:val="center"/>
              <w:rPr>
                <w:rFonts w:ascii="Arial" w:hAnsi="Arial" w:cs="Arial"/>
                <w:b/>
                <w:bCs/>
                <w:sz w:val="20"/>
                <w:szCs w:val="20"/>
              </w:rPr>
            </w:pPr>
            <w:r w:rsidRPr="004D7528">
              <w:rPr>
                <w:rFonts w:ascii="Arial" w:hAnsi="Arial" w:cs="Arial"/>
                <w:b/>
                <w:bCs/>
                <w:sz w:val="20"/>
                <w:szCs w:val="20"/>
              </w:rPr>
              <w:t>1.395,03</w:t>
            </w:r>
          </w:p>
        </w:tc>
        <w:tc>
          <w:tcPr>
            <w:tcW w:w="1418"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
                <w:bCs/>
                <w:sz w:val="20"/>
                <w:szCs w:val="20"/>
              </w:rPr>
            </w:pPr>
            <w:r w:rsidRPr="004D7528">
              <w:rPr>
                <w:rFonts w:ascii="Arial" w:hAnsi="Arial" w:cs="Arial"/>
                <w:b/>
                <w:bCs/>
                <w:sz w:val="20"/>
                <w:szCs w:val="20"/>
              </w:rPr>
              <w:t>425.564,06</w:t>
            </w:r>
          </w:p>
        </w:tc>
        <w:tc>
          <w:tcPr>
            <w:tcW w:w="1701" w:type="dxa"/>
            <w:tcBorders>
              <w:top w:val="single" w:sz="4" w:space="0" w:color="auto"/>
              <w:left w:val="single" w:sz="4" w:space="0" w:color="auto"/>
              <w:bottom w:val="single" w:sz="4" w:space="0" w:color="auto"/>
              <w:right w:val="single" w:sz="4" w:space="0" w:color="auto"/>
            </w:tcBorders>
            <w:vAlign w:val="bottom"/>
          </w:tcPr>
          <w:p w:rsidR="00EE7225" w:rsidRPr="004D7528" w:rsidRDefault="00EE7225" w:rsidP="004D7528">
            <w:pPr>
              <w:spacing w:after="0" w:line="240" w:lineRule="auto"/>
              <w:jc w:val="center"/>
              <w:rPr>
                <w:rFonts w:ascii="Arial" w:hAnsi="Arial" w:cs="Arial"/>
                <w:b/>
                <w:bCs/>
                <w:sz w:val="20"/>
                <w:szCs w:val="20"/>
              </w:rPr>
            </w:pPr>
            <w:r w:rsidRPr="004D7528">
              <w:rPr>
                <w:rFonts w:ascii="Arial" w:hAnsi="Arial" w:cs="Arial"/>
                <w:b/>
                <w:bCs/>
                <w:sz w:val="20"/>
                <w:szCs w:val="20"/>
              </w:rPr>
              <w:t>151.806.839,67</w:t>
            </w:r>
          </w:p>
        </w:tc>
      </w:tr>
    </w:tbl>
    <w:p w:rsidR="00F74D16" w:rsidRDefault="00F74D16" w:rsidP="00F74D16">
      <w:pPr>
        <w:spacing w:line="240" w:lineRule="auto"/>
        <w:rPr>
          <w:rFonts w:ascii="Arial" w:hAnsi="Arial"/>
          <w:sz w:val="20"/>
          <w:szCs w:val="20"/>
        </w:rPr>
      </w:pPr>
    </w:p>
    <w:p w:rsidR="002B001C" w:rsidRDefault="002B001C" w:rsidP="002B001C">
      <w:pPr>
        <w:spacing w:after="0" w:line="240" w:lineRule="auto"/>
        <w:jc w:val="both"/>
        <w:rPr>
          <w:rFonts w:ascii="Arial" w:hAnsi="Arial"/>
          <w:sz w:val="20"/>
          <w:szCs w:val="20"/>
        </w:rPr>
      </w:pPr>
      <w:r w:rsidRPr="00F74D16">
        <w:rPr>
          <w:rFonts w:ascii="Arial" w:hAnsi="Arial"/>
          <w:sz w:val="20"/>
          <w:szCs w:val="20"/>
        </w:rPr>
        <w:t xml:space="preserve">The </w:t>
      </w:r>
      <w:r>
        <w:rPr>
          <w:rFonts w:ascii="Arial" w:hAnsi="Arial"/>
          <w:sz w:val="20"/>
          <w:szCs w:val="20"/>
        </w:rPr>
        <w:t>determination ratio is almost 0,81 which means that the volume of the GDP per capita influences 81% of the life expectancy and 19% influence other factors.</w:t>
      </w:r>
      <w:r w:rsidRPr="00F74D16">
        <w:rPr>
          <w:rFonts w:ascii="Arial" w:hAnsi="Arial"/>
          <w:sz w:val="20"/>
          <w:szCs w:val="20"/>
        </w:rPr>
        <w:t xml:space="preserve"> </w:t>
      </w:r>
    </w:p>
    <w:p w:rsidR="00F74D16" w:rsidRDefault="002B001C" w:rsidP="002B001C">
      <w:pPr>
        <w:spacing w:after="0" w:line="240" w:lineRule="auto"/>
        <w:jc w:val="both"/>
        <w:rPr>
          <w:rFonts w:ascii="Arial" w:hAnsi="Arial"/>
          <w:sz w:val="20"/>
          <w:szCs w:val="20"/>
        </w:rPr>
      </w:pPr>
      <w:r>
        <w:rPr>
          <w:rFonts w:ascii="Arial" w:hAnsi="Arial"/>
          <w:sz w:val="20"/>
          <w:szCs w:val="20"/>
        </w:rPr>
        <w:t>Correlation ratio and determination ratio in the EU countries are much higher than the same ratios measured in the Republic of Macedonia.</w:t>
      </w:r>
    </w:p>
    <w:p w:rsidR="002B001C" w:rsidRDefault="002B001C" w:rsidP="002B001C">
      <w:pPr>
        <w:spacing w:after="0" w:line="240" w:lineRule="auto"/>
        <w:jc w:val="both"/>
        <w:rPr>
          <w:rFonts w:ascii="Arial" w:hAnsi="Arial"/>
          <w:sz w:val="20"/>
          <w:szCs w:val="20"/>
        </w:rPr>
      </w:pPr>
    </w:p>
    <w:p w:rsidR="004D7528" w:rsidRDefault="004D7528" w:rsidP="00F74D16">
      <w:pPr>
        <w:spacing w:line="240" w:lineRule="auto"/>
        <w:rPr>
          <w:rFonts w:ascii="Arial" w:hAnsi="Arial"/>
          <w:sz w:val="20"/>
          <w:szCs w:val="20"/>
        </w:rPr>
      </w:pPr>
    </w:p>
    <w:p w:rsidR="004D7528" w:rsidRDefault="004D7528" w:rsidP="00F74D16">
      <w:pPr>
        <w:spacing w:line="240" w:lineRule="auto"/>
        <w:rPr>
          <w:rFonts w:ascii="Arial" w:hAnsi="Arial"/>
          <w:sz w:val="20"/>
          <w:szCs w:val="20"/>
        </w:rPr>
      </w:pPr>
    </w:p>
    <w:p w:rsidR="004D7528" w:rsidRDefault="004D7528" w:rsidP="00F74D16">
      <w:pPr>
        <w:spacing w:line="240" w:lineRule="auto"/>
        <w:rPr>
          <w:rFonts w:ascii="Arial" w:hAnsi="Arial"/>
          <w:sz w:val="20"/>
          <w:szCs w:val="20"/>
        </w:rPr>
      </w:pPr>
    </w:p>
    <w:p w:rsidR="002B001C" w:rsidRDefault="002B001C" w:rsidP="00F74D16">
      <w:pPr>
        <w:spacing w:line="240" w:lineRule="auto"/>
        <w:rPr>
          <w:rFonts w:ascii="Arial" w:hAnsi="Arial"/>
          <w:sz w:val="20"/>
          <w:szCs w:val="20"/>
        </w:rPr>
      </w:pPr>
    </w:p>
    <w:p w:rsidR="00F74D16" w:rsidRPr="005C4F24" w:rsidRDefault="00393753" w:rsidP="004D7528">
      <w:pPr>
        <w:spacing w:line="240" w:lineRule="auto"/>
        <w:jc w:val="center"/>
        <w:rPr>
          <w:rFonts w:ascii="Arial" w:hAnsi="Arial"/>
          <w:b/>
          <w:sz w:val="20"/>
          <w:szCs w:val="20"/>
        </w:rPr>
      </w:pPr>
      <w:r w:rsidRPr="005C4F24">
        <w:rPr>
          <w:rFonts w:ascii="Arial" w:hAnsi="Arial"/>
          <w:b/>
          <w:sz w:val="20"/>
          <w:szCs w:val="20"/>
        </w:rPr>
        <w:lastRenderedPageBreak/>
        <w:t>C</w:t>
      </w:r>
      <w:r w:rsidR="005C4F24" w:rsidRPr="005C4F24">
        <w:rPr>
          <w:rFonts w:ascii="Arial" w:hAnsi="Arial"/>
          <w:b/>
          <w:sz w:val="20"/>
          <w:szCs w:val="20"/>
        </w:rPr>
        <w:t>onclusion</w:t>
      </w:r>
    </w:p>
    <w:p w:rsidR="004D7528" w:rsidRDefault="004D7528" w:rsidP="004D7528">
      <w:pPr>
        <w:spacing w:line="240" w:lineRule="auto"/>
        <w:jc w:val="both"/>
        <w:rPr>
          <w:rFonts w:ascii="Arial" w:hAnsi="Arial"/>
          <w:sz w:val="20"/>
          <w:szCs w:val="20"/>
        </w:rPr>
      </w:pPr>
    </w:p>
    <w:p w:rsidR="00F74D16" w:rsidRPr="00F74D16" w:rsidRDefault="005C4F24" w:rsidP="004D7528">
      <w:pPr>
        <w:spacing w:after="120" w:line="240" w:lineRule="auto"/>
        <w:jc w:val="both"/>
        <w:rPr>
          <w:rFonts w:ascii="Arial" w:hAnsi="Arial"/>
          <w:sz w:val="20"/>
          <w:szCs w:val="20"/>
        </w:rPr>
      </w:pPr>
      <w:r>
        <w:rPr>
          <w:rFonts w:ascii="Arial" w:hAnsi="Arial"/>
          <w:sz w:val="20"/>
          <w:szCs w:val="20"/>
        </w:rPr>
        <w:t xml:space="preserve">The researches show that Republic of Macedonia </w:t>
      </w:r>
      <w:r w:rsidR="004D7528">
        <w:rPr>
          <w:rFonts w:ascii="Arial" w:hAnsi="Arial"/>
          <w:sz w:val="20"/>
          <w:szCs w:val="20"/>
        </w:rPr>
        <w:t>in terms of</w:t>
      </w:r>
      <w:r>
        <w:rPr>
          <w:rFonts w:ascii="Arial" w:hAnsi="Arial"/>
          <w:sz w:val="20"/>
          <w:szCs w:val="20"/>
        </w:rPr>
        <w:t xml:space="preserve"> </w:t>
      </w:r>
      <w:r w:rsidR="00F74D16" w:rsidRPr="00F74D16">
        <w:rPr>
          <w:rFonts w:ascii="Arial" w:hAnsi="Arial"/>
          <w:sz w:val="20"/>
          <w:szCs w:val="20"/>
        </w:rPr>
        <w:t xml:space="preserve">life expectancy </w:t>
      </w:r>
      <w:r>
        <w:rPr>
          <w:rFonts w:ascii="Arial" w:hAnsi="Arial"/>
          <w:sz w:val="20"/>
          <w:szCs w:val="20"/>
        </w:rPr>
        <w:t xml:space="preserve">of the population and </w:t>
      </w:r>
      <w:r w:rsidR="00F74D16" w:rsidRPr="00F74D16">
        <w:rPr>
          <w:rFonts w:ascii="Arial" w:hAnsi="Arial"/>
          <w:sz w:val="20"/>
          <w:szCs w:val="20"/>
        </w:rPr>
        <w:t xml:space="preserve">GDP per capita </w:t>
      </w:r>
      <w:r>
        <w:rPr>
          <w:rFonts w:ascii="Arial" w:hAnsi="Arial"/>
          <w:sz w:val="20"/>
          <w:szCs w:val="20"/>
        </w:rPr>
        <w:t>stand behind in comparison with the EU countries.</w:t>
      </w:r>
      <w:r w:rsidR="00F74D16" w:rsidRPr="00F74D16">
        <w:rPr>
          <w:rFonts w:ascii="Arial" w:hAnsi="Arial"/>
          <w:sz w:val="20"/>
          <w:szCs w:val="20"/>
        </w:rPr>
        <w:t xml:space="preserve"> </w:t>
      </w:r>
    </w:p>
    <w:p w:rsidR="00F74D16" w:rsidRPr="00F74D16" w:rsidRDefault="00F74D16" w:rsidP="004D7528">
      <w:pPr>
        <w:spacing w:after="120" w:line="240" w:lineRule="auto"/>
        <w:jc w:val="both"/>
        <w:rPr>
          <w:rFonts w:ascii="Arial" w:hAnsi="Arial"/>
          <w:sz w:val="20"/>
          <w:szCs w:val="20"/>
        </w:rPr>
      </w:pPr>
      <w:r w:rsidRPr="005C4F24">
        <w:rPr>
          <w:rFonts w:ascii="Arial" w:hAnsi="Arial"/>
          <w:sz w:val="20"/>
          <w:szCs w:val="20"/>
        </w:rPr>
        <w:t>Also</w:t>
      </w:r>
      <w:r w:rsidRPr="00F74D16">
        <w:rPr>
          <w:rFonts w:ascii="Arial" w:hAnsi="Arial"/>
          <w:sz w:val="20"/>
          <w:szCs w:val="20"/>
        </w:rPr>
        <w:t xml:space="preserve">, the correlation </w:t>
      </w:r>
      <w:r w:rsidR="005C4F24">
        <w:rPr>
          <w:rFonts w:ascii="Arial" w:hAnsi="Arial"/>
          <w:sz w:val="20"/>
          <w:szCs w:val="20"/>
        </w:rPr>
        <w:t>ratio</w:t>
      </w:r>
      <w:r w:rsidRPr="00F74D16">
        <w:rPr>
          <w:rFonts w:ascii="Arial" w:hAnsi="Arial"/>
          <w:sz w:val="20"/>
          <w:szCs w:val="20"/>
        </w:rPr>
        <w:t xml:space="preserve"> between life expectancy and GDP per capita in the Republic </w:t>
      </w:r>
      <w:r w:rsidR="005C4F24">
        <w:rPr>
          <w:rFonts w:ascii="Arial" w:hAnsi="Arial"/>
          <w:sz w:val="20"/>
          <w:szCs w:val="20"/>
        </w:rPr>
        <w:t>of</w:t>
      </w:r>
      <w:r w:rsidRPr="00F74D16">
        <w:rPr>
          <w:rFonts w:ascii="Arial" w:hAnsi="Arial"/>
          <w:sz w:val="20"/>
          <w:szCs w:val="20"/>
        </w:rPr>
        <w:t xml:space="preserve"> Macedonia is quite high</w:t>
      </w:r>
      <w:r w:rsidR="005C4F24">
        <w:rPr>
          <w:rFonts w:ascii="Arial" w:hAnsi="Arial"/>
          <w:sz w:val="20"/>
          <w:szCs w:val="20"/>
        </w:rPr>
        <w:t xml:space="preserve"> and amounts</w:t>
      </w:r>
      <w:r w:rsidRPr="00F74D16">
        <w:rPr>
          <w:rFonts w:ascii="Arial" w:hAnsi="Arial"/>
          <w:sz w:val="20"/>
          <w:szCs w:val="20"/>
        </w:rPr>
        <w:t xml:space="preserve"> 0.87 </w:t>
      </w:r>
      <w:r w:rsidR="005C4F24">
        <w:rPr>
          <w:rFonts w:ascii="Arial" w:hAnsi="Arial"/>
          <w:sz w:val="20"/>
          <w:szCs w:val="20"/>
        </w:rPr>
        <w:t>which shows strong correlative dependence, while the determination ratio is</w:t>
      </w:r>
      <w:r w:rsidR="004D7528">
        <w:rPr>
          <w:rFonts w:ascii="Arial" w:hAnsi="Arial"/>
          <w:sz w:val="20"/>
          <w:szCs w:val="20"/>
        </w:rPr>
        <w:t xml:space="preserve"> 76%</w:t>
      </w:r>
      <w:r w:rsidRPr="00F74D16">
        <w:rPr>
          <w:rFonts w:ascii="Arial" w:hAnsi="Arial"/>
          <w:sz w:val="20"/>
          <w:szCs w:val="20"/>
        </w:rPr>
        <w:t xml:space="preserve">. </w:t>
      </w:r>
      <w:r w:rsidR="005C4F24">
        <w:rPr>
          <w:rFonts w:ascii="Arial" w:hAnsi="Arial"/>
          <w:sz w:val="20"/>
          <w:szCs w:val="20"/>
        </w:rPr>
        <w:t xml:space="preserve">Same ratios are much higher than the average life expectancy and GDP per capita </w:t>
      </w:r>
      <w:r w:rsidR="004D7528">
        <w:rPr>
          <w:rFonts w:ascii="Arial" w:hAnsi="Arial"/>
          <w:sz w:val="20"/>
          <w:szCs w:val="20"/>
        </w:rPr>
        <w:t xml:space="preserve">in the EU countries </w:t>
      </w:r>
      <w:r w:rsidR="005C4F24">
        <w:rPr>
          <w:rFonts w:ascii="Arial" w:hAnsi="Arial"/>
          <w:sz w:val="20"/>
          <w:szCs w:val="20"/>
        </w:rPr>
        <w:t xml:space="preserve">and </w:t>
      </w:r>
      <w:r w:rsidR="004D7528">
        <w:rPr>
          <w:rFonts w:ascii="Arial" w:hAnsi="Arial"/>
          <w:sz w:val="20"/>
          <w:szCs w:val="20"/>
        </w:rPr>
        <w:t xml:space="preserve">also </w:t>
      </w:r>
      <w:r w:rsidR="005C4F24">
        <w:rPr>
          <w:rFonts w:ascii="Arial" w:hAnsi="Arial"/>
          <w:sz w:val="20"/>
          <w:szCs w:val="20"/>
        </w:rPr>
        <w:t>the correlation ratio</w:t>
      </w:r>
      <w:r w:rsidR="004D7528">
        <w:rPr>
          <w:rFonts w:ascii="Arial" w:hAnsi="Arial"/>
          <w:sz w:val="20"/>
          <w:szCs w:val="20"/>
        </w:rPr>
        <w:t xml:space="preserve"> is 0,90</w:t>
      </w:r>
      <w:r w:rsidR="005C4F24">
        <w:rPr>
          <w:rFonts w:ascii="Arial" w:hAnsi="Arial"/>
          <w:sz w:val="20"/>
          <w:szCs w:val="20"/>
        </w:rPr>
        <w:t xml:space="preserve"> and determination ratio is almost 81%. </w:t>
      </w:r>
    </w:p>
    <w:p w:rsidR="00F74D16" w:rsidRDefault="004D7528" w:rsidP="004D7528">
      <w:pPr>
        <w:spacing w:after="120" w:line="240" w:lineRule="auto"/>
        <w:jc w:val="both"/>
        <w:rPr>
          <w:rFonts w:ascii="Arial" w:hAnsi="Arial"/>
          <w:sz w:val="20"/>
          <w:szCs w:val="20"/>
        </w:rPr>
      </w:pPr>
      <w:r>
        <w:rPr>
          <w:rFonts w:ascii="Arial" w:hAnsi="Arial"/>
          <w:sz w:val="20"/>
          <w:szCs w:val="20"/>
        </w:rPr>
        <w:t>The calculated</w:t>
      </w:r>
      <w:r w:rsidR="00311365">
        <w:rPr>
          <w:rFonts w:ascii="Arial" w:hAnsi="Arial"/>
          <w:sz w:val="20"/>
          <w:szCs w:val="20"/>
        </w:rPr>
        <w:t xml:space="preserve"> ratios show that higher GDP</w:t>
      </w:r>
      <w:r>
        <w:rPr>
          <w:rFonts w:ascii="Arial" w:hAnsi="Arial"/>
          <w:sz w:val="20"/>
          <w:szCs w:val="20"/>
        </w:rPr>
        <w:t xml:space="preserve"> per capita in the EU countries</w:t>
      </w:r>
      <w:r w:rsidR="00311365">
        <w:rPr>
          <w:rFonts w:ascii="Arial" w:hAnsi="Arial"/>
          <w:sz w:val="20"/>
          <w:szCs w:val="20"/>
        </w:rPr>
        <w:t xml:space="preserve"> determines longer lif</w:t>
      </w:r>
      <w:r>
        <w:rPr>
          <w:rFonts w:ascii="Arial" w:hAnsi="Arial"/>
          <w:sz w:val="20"/>
          <w:szCs w:val="20"/>
        </w:rPr>
        <w:t>e of their population in compar</w:t>
      </w:r>
      <w:r w:rsidR="00311365">
        <w:rPr>
          <w:rFonts w:ascii="Arial" w:hAnsi="Arial"/>
          <w:sz w:val="20"/>
          <w:szCs w:val="20"/>
        </w:rPr>
        <w:t>i</w:t>
      </w:r>
      <w:r>
        <w:rPr>
          <w:rFonts w:ascii="Arial" w:hAnsi="Arial"/>
          <w:sz w:val="20"/>
          <w:szCs w:val="20"/>
        </w:rPr>
        <w:t>s</w:t>
      </w:r>
      <w:r w:rsidR="00311365">
        <w:rPr>
          <w:rFonts w:ascii="Arial" w:hAnsi="Arial"/>
          <w:sz w:val="20"/>
          <w:szCs w:val="20"/>
        </w:rPr>
        <w:t>on to the population of the Republic of Macedonia.</w:t>
      </w:r>
    </w:p>
    <w:p w:rsidR="00F74D16" w:rsidRDefault="00F74D16" w:rsidP="004D7528">
      <w:pPr>
        <w:spacing w:line="240" w:lineRule="auto"/>
        <w:jc w:val="both"/>
        <w:rPr>
          <w:rFonts w:ascii="Arial" w:hAnsi="Arial"/>
          <w:sz w:val="20"/>
          <w:szCs w:val="20"/>
        </w:rPr>
      </w:pPr>
    </w:p>
    <w:p w:rsidR="008A46BD" w:rsidRDefault="008A46BD" w:rsidP="00F74D16">
      <w:pPr>
        <w:spacing w:line="240" w:lineRule="auto"/>
        <w:rPr>
          <w:rFonts w:ascii="Arial" w:hAnsi="Arial"/>
          <w:sz w:val="20"/>
          <w:szCs w:val="20"/>
        </w:rPr>
      </w:pPr>
    </w:p>
    <w:p w:rsidR="00F74D16" w:rsidRPr="004D7528" w:rsidRDefault="00F74D16" w:rsidP="004D7528">
      <w:pPr>
        <w:spacing w:line="240" w:lineRule="auto"/>
        <w:jc w:val="center"/>
        <w:rPr>
          <w:rFonts w:ascii="Arial" w:hAnsi="Arial"/>
          <w:b/>
          <w:sz w:val="20"/>
          <w:szCs w:val="20"/>
        </w:rPr>
      </w:pPr>
      <w:r w:rsidRPr="004D7528">
        <w:rPr>
          <w:rFonts w:ascii="Arial" w:hAnsi="Arial"/>
          <w:b/>
          <w:sz w:val="20"/>
          <w:szCs w:val="20"/>
        </w:rPr>
        <w:t>R</w:t>
      </w:r>
      <w:r w:rsidR="005C4F24" w:rsidRPr="004D7528">
        <w:rPr>
          <w:rFonts w:ascii="Arial" w:hAnsi="Arial"/>
          <w:b/>
          <w:sz w:val="20"/>
          <w:szCs w:val="20"/>
        </w:rPr>
        <w:t>eferences</w:t>
      </w:r>
    </w:p>
    <w:p w:rsidR="00F74D16" w:rsidRPr="00F74D16" w:rsidRDefault="002B001C" w:rsidP="00F74D16">
      <w:pPr>
        <w:spacing w:line="240" w:lineRule="auto"/>
        <w:rPr>
          <w:rFonts w:ascii="Arial" w:hAnsi="Arial"/>
          <w:sz w:val="20"/>
          <w:szCs w:val="20"/>
        </w:rPr>
      </w:pPr>
      <w:r>
        <w:rPr>
          <w:rFonts w:ascii="Arial" w:hAnsi="Arial"/>
          <w:sz w:val="20"/>
          <w:szCs w:val="20"/>
        </w:rPr>
        <w:t xml:space="preserve">1. </w:t>
      </w:r>
      <w:r w:rsidR="004D7528">
        <w:rPr>
          <w:rFonts w:ascii="Arial" w:hAnsi="Arial"/>
          <w:sz w:val="20"/>
          <w:szCs w:val="20"/>
        </w:rPr>
        <w:t xml:space="preserve">Miceski T., </w:t>
      </w:r>
      <w:r>
        <w:rPr>
          <w:rFonts w:ascii="Arial" w:hAnsi="Arial"/>
          <w:sz w:val="20"/>
          <w:szCs w:val="20"/>
        </w:rPr>
        <w:t xml:space="preserve">Miladinov D., </w:t>
      </w:r>
      <w:r w:rsidR="00F74D16" w:rsidRPr="00F74D16">
        <w:rPr>
          <w:rFonts w:ascii="Arial" w:hAnsi="Arial"/>
          <w:sz w:val="20"/>
          <w:szCs w:val="20"/>
        </w:rPr>
        <w:t>Pra</w:t>
      </w:r>
      <w:r>
        <w:rPr>
          <w:rFonts w:ascii="Arial" w:hAnsi="Arial"/>
          <w:sz w:val="20"/>
          <w:szCs w:val="20"/>
        </w:rPr>
        <w:t>ctic</w:t>
      </w:r>
      <w:r w:rsidR="00F74D16" w:rsidRPr="00F74D16">
        <w:rPr>
          <w:rFonts w:ascii="Arial" w:hAnsi="Arial"/>
          <w:sz w:val="20"/>
          <w:szCs w:val="20"/>
        </w:rPr>
        <w:t>um in Statistics, Univ</w:t>
      </w:r>
      <w:r w:rsidR="004D7528">
        <w:rPr>
          <w:rFonts w:ascii="Arial" w:hAnsi="Arial"/>
          <w:sz w:val="20"/>
          <w:szCs w:val="20"/>
        </w:rPr>
        <w:t>ersity Goce Delchev</w:t>
      </w:r>
      <w:r>
        <w:rPr>
          <w:rFonts w:ascii="Arial" w:hAnsi="Arial"/>
          <w:sz w:val="20"/>
          <w:szCs w:val="20"/>
        </w:rPr>
        <w:t xml:space="preserve"> </w:t>
      </w:r>
      <w:r w:rsidR="004D7528">
        <w:rPr>
          <w:rFonts w:ascii="Arial" w:hAnsi="Arial"/>
          <w:sz w:val="20"/>
          <w:szCs w:val="20"/>
        </w:rPr>
        <w:t>-</w:t>
      </w:r>
      <w:r>
        <w:rPr>
          <w:rFonts w:ascii="Arial" w:hAnsi="Arial"/>
          <w:sz w:val="20"/>
          <w:szCs w:val="20"/>
        </w:rPr>
        <w:t xml:space="preserve"> </w:t>
      </w:r>
      <w:r w:rsidR="004D7528">
        <w:rPr>
          <w:rFonts w:ascii="Arial" w:hAnsi="Arial"/>
          <w:sz w:val="20"/>
          <w:szCs w:val="20"/>
        </w:rPr>
        <w:t>Stip, 2008</w:t>
      </w:r>
    </w:p>
    <w:p w:rsidR="00F74D16" w:rsidRPr="00F74D16" w:rsidRDefault="002B001C" w:rsidP="00F74D16">
      <w:pPr>
        <w:spacing w:line="240" w:lineRule="auto"/>
        <w:rPr>
          <w:rFonts w:ascii="Arial" w:hAnsi="Arial"/>
          <w:sz w:val="20"/>
          <w:szCs w:val="20"/>
        </w:rPr>
      </w:pPr>
      <w:r>
        <w:rPr>
          <w:rFonts w:ascii="Arial" w:hAnsi="Arial"/>
          <w:sz w:val="20"/>
          <w:szCs w:val="20"/>
        </w:rPr>
        <w:t xml:space="preserve">2. </w:t>
      </w:r>
      <w:r w:rsidR="00F74D16" w:rsidRPr="00F74D16">
        <w:rPr>
          <w:rFonts w:ascii="Arial" w:hAnsi="Arial"/>
          <w:sz w:val="20"/>
          <w:szCs w:val="20"/>
        </w:rPr>
        <w:t>Orovc</w:t>
      </w:r>
      <w:r w:rsidR="004D7528">
        <w:rPr>
          <w:rFonts w:ascii="Arial" w:hAnsi="Arial"/>
          <w:sz w:val="20"/>
          <w:szCs w:val="20"/>
        </w:rPr>
        <w:t>anec</w:t>
      </w:r>
      <w:r>
        <w:rPr>
          <w:rFonts w:ascii="Arial" w:hAnsi="Arial"/>
          <w:sz w:val="20"/>
          <w:szCs w:val="20"/>
        </w:rPr>
        <w:t xml:space="preserve"> </w:t>
      </w:r>
      <w:r w:rsidRPr="00F74D16">
        <w:rPr>
          <w:rFonts w:ascii="Arial" w:hAnsi="Arial"/>
          <w:sz w:val="20"/>
          <w:szCs w:val="20"/>
        </w:rPr>
        <w:t>N</w:t>
      </w:r>
      <w:r>
        <w:rPr>
          <w:rFonts w:ascii="Arial" w:hAnsi="Arial"/>
          <w:sz w:val="20"/>
          <w:szCs w:val="20"/>
        </w:rPr>
        <w:t>.</w:t>
      </w:r>
      <w:r w:rsidR="004D7528">
        <w:rPr>
          <w:rFonts w:ascii="Arial" w:hAnsi="Arial"/>
          <w:sz w:val="20"/>
          <w:szCs w:val="20"/>
        </w:rPr>
        <w:t xml:space="preserve"> PhD, Doctor of medical sciences,</w:t>
      </w:r>
      <w:r w:rsidR="00F74D16" w:rsidRPr="00F74D16">
        <w:rPr>
          <w:rFonts w:ascii="Arial" w:hAnsi="Arial"/>
          <w:sz w:val="20"/>
          <w:szCs w:val="20"/>
        </w:rPr>
        <w:t xml:space="preserve"> editor Village Associates, Biostatistics, Skopje 2006</w:t>
      </w:r>
    </w:p>
    <w:p w:rsidR="00F74D16" w:rsidRPr="00F74D16" w:rsidRDefault="002B001C" w:rsidP="00F74D16">
      <w:pPr>
        <w:spacing w:line="240" w:lineRule="auto"/>
        <w:rPr>
          <w:rFonts w:ascii="Arial" w:hAnsi="Arial"/>
          <w:sz w:val="20"/>
          <w:szCs w:val="20"/>
        </w:rPr>
      </w:pPr>
      <w:r>
        <w:rPr>
          <w:rFonts w:ascii="Arial" w:hAnsi="Arial"/>
          <w:sz w:val="20"/>
          <w:szCs w:val="20"/>
        </w:rPr>
        <w:t xml:space="preserve">3. </w:t>
      </w:r>
      <w:r w:rsidR="004D7528">
        <w:rPr>
          <w:rFonts w:ascii="Arial" w:hAnsi="Arial"/>
          <w:sz w:val="20"/>
          <w:szCs w:val="20"/>
        </w:rPr>
        <w:t>Poposka C., Mr. Poposki</w:t>
      </w:r>
      <w:r>
        <w:rPr>
          <w:rFonts w:ascii="Arial" w:hAnsi="Arial"/>
          <w:sz w:val="20"/>
          <w:szCs w:val="20"/>
        </w:rPr>
        <w:t xml:space="preserve">, </w:t>
      </w:r>
      <w:r w:rsidR="004D7528">
        <w:rPr>
          <w:rFonts w:ascii="Arial" w:hAnsi="Arial"/>
          <w:sz w:val="20"/>
          <w:szCs w:val="20"/>
        </w:rPr>
        <w:t>Statistics, University of St.</w:t>
      </w:r>
      <w:r w:rsidR="00F74D16" w:rsidRPr="00F74D16">
        <w:rPr>
          <w:rFonts w:ascii="Arial" w:hAnsi="Arial"/>
          <w:sz w:val="20"/>
          <w:szCs w:val="20"/>
        </w:rPr>
        <w:t>Kliment Ohridski, 2001</w:t>
      </w:r>
    </w:p>
    <w:p w:rsidR="00F74D16" w:rsidRPr="00F74D16" w:rsidRDefault="002B001C" w:rsidP="00F74D16">
      <w:pPr>
        <w:spacing w:line="240" w:lineRule="auto"/>
        <w:rPr>
          <w:rFonts w:ascii="Arial" w:hAnsi="Arial"/>
          <w:sz w:val="20"/>
          <w:szCs w:val="20"/>
        </w:rPr>
      </w:pPr>
      <w:r>
        <w:rPr>
          <w:rFonts w:ascii="Arial" w:hAnsi="Arial"/>
          <w:sz w:val="20"/>
          <w:szCs w:val="20"/>
        </w:rPr>
        <w:t xml:space="preserve">4. Sotiroski K., </w:t>
      </w:r>
      <w:r w:rsidR="00F74D16" w:rsidRPr="00F74D16">
        <w:rPr>
          <w:rFonts w:ascii="Arial" w:hAnsi="Arial"/>
          <w:sz w:val="20"/>
          <w:szCs w:val="20"/>
        </w:rPr>
        <w:t>Statistics, Faculty of Economics</w:t>
      </w:r>
      <w:r>
        <w:rPr>
          <w:rFonts w:ascii="Arial" w:hAnsi="Arial"/>
          <w:sz w:val="20"/>
          <w:szCs w:val="20"/>
        </w:rPr>
        <w:t xml:space="preserve"> </w:t>
      </w:r>
      <w:r w:rsidR="00F74D16" w:rsidRPr="00F74D16">
        <w:rPr>
          <w:rFonts w:ascii="Arial" w:hAnsi="Arial"/>
          <w:sz w:val="20"/>
          <w:szCs w:val="20"/>
        </w:rPr>
        <w:t>-</w:t>
      </w:r>
      <w:r>
        <w:rPr>
          <w:rFonts w:ascii="Arial" w:hAnsi="Arial"/>
          <w:sz w:val="20"/>
          <w:szCs w:val="20"/>
        </w:rPr>
        <w:t xml:space="preserve"> </w:t>
      </w:r>
      <w:r w:rsidR="00F74D16" w:rsidRPr="00F74D16">
        <w:rPr>
          <w:rFonts w:ascii="Arial" w:hAnsi="Arial"/>
          <w:sz w:val="20"/>
          <w:szCs w:val="20"/>
        </w:rPr>
        <w:t>Prilep, 2004</w:t>
      </w:r>
    </w:p>
    <w:p w:rsidR="00F74D16" w:rsidRPr="00F74D16" w:rsidRDefault="002B001C" w:rsidP="00F74D16">
      <w:pPr>
        <w:spacing w:line="240" w:lineRule="auto"/>
        <w:rPr>
          <w:rFonts w:ascii="Arial" w:hAnsi="Arial"/>
          <w:sz w:val="20"/>
          <w:szCs w:val="20"/>
        </w:rPr>
      </w:pPr>
      <w:r>
        <w:rPr>
          <w:rFonts w:ascii="Arial" w:hAnsi="Arial"/>
          <w:sz w:val="20"/>
          <w:szCs w:val="20"/>
        </w:rPr>
        <w:t xml:space="preserve">5. </w:t>
      </w:r>
      <w:r w:rsidR="00F74D16" w:rsidRPr="00F74D16">
        <w:rPr>
          <w:rFonts w:ascii="Arial" w:hAnsi="Arial"/>
          <w:sz w:val="20"/>
          <w:szCs w:val="20"/>
        </w:rPr>
        <w:t>Statistical Yearbook of the Republic. Macedonia, State Statistical Office, 2006th</w:t>
      </w:r>
    </w:p>
    <w:p w:rsidR="00F74D16" w:rsidRPr="00F74D16" w:rsidRDefault="002B001C" w:rsidP="00F74D16">
      <w:pPr>
        <w:spacing w:line="240" w:lineRule="auto"/>
        <w:rPr>
          <w:rFonts w:ascii="Arial" w:hAnsi="Arial"/>
          <w:sz w:val="20"/>
          <w:szCs w:val="20"/>
        </w:rPr>
      </w:pPr>
      <w:r>
        <w:rPr>
          <w:rFonts w:ascii="Arial" w:hAnsi="Arial"/>
          <w:sz w:val="20"/>
          <w:szCs w:val="20"/>
        </w:rPr>
        <w:t>6. World Bank,</w:t>
      </w:r>
      <w:r w:rsidR="00F74D16" w:rsidRPr="00F74D16">
        <w:rPr>
          <w:rFonts w:ascii="Arial" w:hAnsi="Arial"/>
          <w:sz w:val="20"/>
          <w:szCs w:val="20"/>
        </w:rPr>
        <w:t xml:space="preserve"> Aide-memoire of the</w:t>
      </w:r>
      <w:r>
        <w:rPr>
          <w:rFonts w:ascii="Arial" w:hAnsi="Arial"/>
          <w:sz w:val="20"/>
          <w:szCs w:val="20"/>
        </w:rPr>
        <w:t xml:space="preserve"> World Bank Supervision Mission</w:t>
      </w:r>
    </w:p>
    <w:p w:rsidR="00F74D16" w:rsidRPr="00F74D16" w:rsidRDefault="002B001C" w:rsidP="00F74D16">
      <w:pPr>
        <w:spacing w:line="240" w:lineRule="auto"/>
        <w:rPr>
          <w:rFonts w:ascii="Arial" w:hAnsi="Arial"/>
          <w:sz w:val="20"/>
          <w:szCs w:val="20"/>
        </w:rPr>
      </w:pPr>
      <w:r>
        <w:rPr>
          <w:rFonts w:ascii="Arial" w:hAnsi="Arial"/>
          <w:sz w:val="20"/>
          <w:szCs w:val="20"/>
        </w:rPr>
        <w:t xml:space="preserve">7. </w:t>
      </w:r>
      <w:r w:rsidR="00F74D16" w:rsidRPr="00F74D16">
        <w:rPr>
          <w:rFonts w:ascii="Arial" w:hAnsi="Arial"/>
          <w:sz w:val="20"/>
          <w:szCs w:val="20"/>
        </w:rPr>
        <w:t>6</w:t>
      </w:r>
      <w:r w:rsidR="00F74D16" w:rsidRPr="002B001C">
        <w:rPr>
          <w:rFonts w:ascii="Arial" w:hAnsi="Arial"/>
          <w:sz w:val="20"/>
          <w:szCs w:val="20"/>
          <w:vertAlign w:val="superscript"/>
        </w:rPr>
        <w:t>th</w:t>
      </w:r>
      <w:r>
        <w:rPr>
          <w:rFonts w:ascii="Arial" w:hAnsi="Arial"/>
          <w:sz w:val="20"/>
          <w:szCs w:val="20"/>
        </w:rPr>
        <w:t xml:space="preserve">  WHO HFA-DB, january 2006</w:t>
      </w:r>
    </w:p>
    <w:p w:rsidR="00F74D16" w:rsidRPr="00F74D16" w:rsidRDefault="002B001C" w:rsidP="00F74D16">
      <w:pPr>
        <w:spacing w:line="240" w:lineRule="auto"/>
        <w:rPr>
          <w:rFonts w:ascii="Arial" w:hAnsi="Arial"/>
          <w:sz w:val="20"/>
          <w:szCs w:val="20"/>
        </w:rPr>
      </w:pPr>
      <w:r>
        <w:rPr>
          <w:rFonts w:ascii="Arial" w:hAnsi="Arial"/>
          <w:sz w:val="20"/>
          <w:szCs w:val="20"/>
        </w:rPr>
        <w:t xml:space="preserve">8. </w:t>
      </w:r>
      <w:r w:rsidR="00F74D16" w:rsidRPr="00F74D16">
        <w:rPr>
          <w:rFonts w:ascii="Arial" w:hAnsi="Arial"/>
          <w:sz w:val="20"/>
          <w:szCs w:val="20"/>
        </w:rPr>
        <w:t>7</w:t>
      </w:r>
      <w:r w:rsidRPr="002B001C">
        <w:rPr>
          <w:rFonts w:ascii="Arial" w:hAnsi="Arial"/>
          <w:sz w:val="20"/>
          <w:szCs w:val="20"/>
          <w:vertAlign w:val="superscript"/>
        </w:rPr>
        <w:t>th</w:t>
      </w:r>
      <w:r>
        <w:rPr>
          <w:rFonts w:ascii="Arial" w:hAnsi="Arial"/>
          <w:sz w:val="20"/>
          <w:szCs w:val="20"/>
        </w:rPr>
        <w:t xml:space="preserve"> WHO EURO TB,</w:t>
      </w:r>
      <w:r w:rsidR="00F74D16" w:rsidRPr="00F74D16">
        <w:rPr>
          <w:rFonts w:ascii="Arial" w:hAnsi="Arial"/>
          <w:sz w:val="20"/>
          <w:szCs w:val="20"/>
        </w:rPr>
        <w:t xml:space="preserve"> </w:t>
      </w:r>
      <w:r>
        <w:rPr>
          <w:rFonts w:ascii="Arial" w:hAnsi="Arial"/>
          <w:sz w:val="20"/>
          <w:szCs w:val="20"/>
        </w:rPr>
        <w:t>january 2006</w:t>
      </w:r>
    </w:p>
    <w:p w:rsidR="00F74D16" w:rsidRPr="00C73F58" w:rsidRDefault="002B001C" w:rsidP="00F74D16">
      <w:pPr>
        <w:spacing w:line="240" w:lineRule="auto"/>
        <w:rPr>
          <w:rFonts w:ascii="Arial" w:hAnsi="Arial"/>
          <w:sz w:val="20"/>
          <w:szCs w:val="20"/>
        </w:rPr>
      </w:pPr>
      <w:r>
        <w:rPr>
          <w:rFonts w:ascii="Arial" w:hAnsi="Arial"/>
          <w:sz w:val="20"/>
          <w:szCs w:val="20"/>
        </w:rPr>
        <w:t xml:space="preserve">9. </w:t>
      </w:r>
      <w:r w:rsidR="00F74D16" w:rsidRPr="00F74D16">
        <w:rPr>
          <w:rFonts w:ascii="Arial" w:hAnsi="Arial"/>
          <w:sz w:val="20"/>
          <w:szCs w:val="20"/>
        </w:rPr>
        <w:t>8</w:t>
      </w:r>
      <w:r w:rsidR="00F74D16" w:rsidRPr="002B001C">
        <w:rPr>
          <w:rFonts w:ascii="Arial" w:hAnsi="Arial"/>
          <w:sz w:val="20"/>
          <w:szCs w:val="20"/>
          <w:vertAlign w:val="superscript"/>
        </w:rPr>
        <w:t>th</w:t>
      </w:r>
      <w:r>
        <w:rPr>
          <w:rFonts w:ascii="Arial" w:hAnsi="Arial"/>
          <w:sz w:val="20"/>
          <w:szCs w:val="20"/>
        </w:rPr>
        <w:t xml:space="preserve"> </w:t>
      </w:r>
      <w:r w:rsidR="00F74D16" w:rsidRPr="00F74D16">
        <w:rPr>
          <w:rFonts w:ascii="Arial" w:hAnsi="Arial"/>
          <w:sz w:val="20"/>
          <w:szCs w:val="20"/>
        </w:rPr>
        <w:t xml:space="preserve"> WHO</w:t>
      </w:r>
      <w:r>
        <w:rPr>
          <w:rFonts w:ascii="Arial" w:hAnsi="Arial"/>
          <w:sz w:val="20"/>
          <w:szCs w:val="20"/>
        </w:rPr>
        <w:t xml:space="preserve"> </w:t>
      </w:r>
      <w:r w:rsidR="00F74D16" w:rsidRPr="00F74D16">
        <w:rPr>
          <w:rFonts w:ascii="Arial" w:hAnsi="Arial"/>
          <w:sz w:val="20"/>
          <w:szCs w:val="20"/>
        </w:rPr>
        <w:t>-</w:t>
      </w:r>
      <w:r>
        <w:rPr>
          <w:rFonts w:ascii="Arial" w:hAnsi="Arial"/>
          <w:sz w:val="20"/>
          <w:szCs w:val="20"/>
        </w:rPr>
        <w:t xml:space="preserve"> </w:t>
      </w:r>
      <w:r w:rsidR="00F74D16" w:rsidRPr="00F74D16">
        <w:rPr>
          <w:rFonts w:ascii="Arial" w:hAnsi="Arial"/>
          <w:sz w:val="20"/>
          <w:szCs w:val="20"/>
        </w:rPr>
        <w:t>Environmental Burden of Diseases Series, 2004</w:t>
      </w:r>
    </w:p>
    <w:sectPr w:rsidR="00F74D16" w:rsidRPr="00C73F58" w:rsidSect="006E3E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5E" w:rsidRDefault="00EA4D5E" w:rsidP="001319B9">
      <w:pPr>
        <w:spacing w:after="0" w:line="240" w:lineRule="auto"/>
      </w:pPr>
      <w:r>
        <w:separator/>
      </w:r>
    </w:p>
  </w:endnote>
  <w:endnote w:type="continuationSeparator" w:id="0">
    <w:p w:rsidR="00EA4D5E" w:rsidRDefault="00EA4D5E" w:rsidP="0013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5E" w:rsidRDefault="00EA4D5E" w:rsidP="001319B9">
      <w:pPr>
        <w:spacing w:after="0" w:line="240" w:lineRule="auto"/>
      </w:pPr>
      <w:r>
        <w:separator/>
      </w:r>
    </w:p>
  </w:footnote>
  <w:footnote w:type="continuationSeparator" w:id="0">
    <w:p w:rsidR="00EA4D5E" w:rsidRDefault="00EA4D5E" w:rsidP="001319B9">
      <w:pPr>
        <w:spacing w:after="0" w:line="240" w:lineRule="auto"/>
      </w:pPr>
      <w:r>
        <w:continuationSeparator/>
      </w:r>
    </w:p>
  </w:footnote>
  <w:footnote w:id="1">
    <w:p w:rsidR="00EE7225" w:rsidRDefault="00EE7225">
      <w:pPr>
        <w:pStyle w:val="FootnoteText"/>
      </w:pPr>
      <w:r>
        <w:rPr>
          <w:rStyle w:val="FootnoteReference"/>
        </w:rPr>
        <w:footnoteRef/>
      </w:r>
      <w:r>
        <w:t xml:space="preserve"> PhD Nikola Orovchanec&lt; medical doctor, editor associate, Biostatistcs&lt; Skopje 2006, Page 248.</w:t>
      </w:r>
    </w:p>
  </w:footnote>
  <w:footnote w:id="2">
    <w:p w:rsidR="00EE7225" w:rsidRDefault="00EE7225">
      <w:pPr>
        <w:pStyle w:val="FootnoteText"/>
      </w:pPr>
      <w:r>
        <w:rPr>
          <w:rStyle w:val="FootnoteReference"/>
        </w:rPr>
        <w:footnoteRef/>
      </w:r>
      <w:r>
        <w:t xml:space="preserve"> On line, Ministry of health of Republic of Macednia, Health statistics in Republic of Macedonia 2020, Safe, efficient and fair health system, Skopje, February 2007.</w:t>
      </w:r>
    </w:p>
  </w:footnote>
  <w:footnote w:id="3">
    <w:p w:rsidR="00EE7225" w:rsidRDefault="00EE7225">
      <w:pPr>
        <w:pStyle w:val="FootnoteText"/>
      </w:pPr>
      <w:r>
        <w:rPr>
          <w:rStyle w:val="FootnoteReference"/>
        </w:rPr>
        <w:footnoteRef/>
      </w:r>
      <w:r>
        <w:t xml:space="preserve"> Source: WHU-World health report for year 2003.</w:t>
      </w:r>
    </w:p>
  </w:footnote>
  <w:footnote w:id="4">
    <w:p w:rsidR="00EE7225" w:rsidRDefault="00EE7225">
      <w:pPr>
        <w:pStyle w:val="FootnoteText"/>
      </w:pPr>
      <w:r>
        <w:rPr>
          <w:rStyle w:val="FootnoteReference"/>
        </w:rPr>
        <w:footnoteRef/>
      </w:r>
      <w:r>
        <w:t>Source: WHO HFA-DB, January 2006.</w:t>
      </w:r>
    </w:p>
  </w:footnote>
  <w:footnote w:id="5">
    <w:p w:rsidR="00EE7225" w:rsidRDefault="00EE7225">
      <w:pPr>
        <w:pStyle w:val="FootnoteText"/>
      </w:pPr>
      <w:r>
        <w:rPr>
          <w:rStyle w:val="FootnoteReference"/>
        </w:rPr>
        <w:footnoteRef/>
      </w:r>
      <w:r>
        <w:t xml:space="preserve"> Source: WHO-Environmental Burden of Diseases Series, 2004.</w:t>
      </w:r>
    </w:p>
  </w:footnote>
  <w:footnote w:id="6">
    <w:p w:rsidR="00EE7225" w:rsidRDefault="00EE7225">
      <w:pPr>
        <w:pStyle w:val="FootnoteText"/>
      </w:pPr>
      <w:r>
        <w:rPr>
          <w:rStyle w:val="FootnoteReference"/>
        </w:rPr>
        <w:footnoteRef/>
      </w:r>
      <w:r>
        <w:t xml:space="preserve"> “Global Youth Tobacco” (“Тутунот кај младите глобално”), РЗЗЗ,   Faculty of Mechanics, year 2004.</w:t>
      </w:r>
    </w:p>
  </w:footnote>
  <w:footnote w:id="7">
    <w:p w:rsidR="00EE7225" w:rsidRPr="001A7D36" w:rsidRDefault="00EE7225" w:rsidP="00F74D16">
      <w:pPr>
        <w:pStyle w:val="FootnoteText"/>
      </w:pPr>
      <w:r>
        <w:rPr>
          <w:rStyle w:val="FootnoteReference"/>
        </w:rPr>
        <w:footnoteRef/>
      </w:r>
      <w:r>
        <w:t xml:space="preserve"> </w:t>
      </w:r>
      <w:r w:rsidRPr="001A7D36">
        <w:t>http://search.worldbank.org/data?qterm=expected%20life&amp;language=EN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03E"/>
    <w:rsid w:val="000054DF"/>
    <w:rsid w:val="0000650C"/>
    <w:rsid w:val="00020D05"/>
    <w:rsid w:val="00021E20"/>
    <w:rsid w:val="00043231"/>
    <w:rsid w:val="000B7250"/>
    <w:rsid w:val="001319B9"/>
    <w:rsid w:val="001618F2"/>
    <w:rsid w:val="0019087E"/>
    <w:rsid w:val="001A1F9A"/>
    <w:rsid w:val="00205143"/>
    <w:rsid w:val="00211339"/>
    <w:rsid w:val="002160DE"/>
    <w:rsid w:val="0023438A"/>
    <w:rsid w:val="00245665"/>
    <w:rsid w:val="00266A84"/>
    <w:rsid w:val="00275A80"/>
    <w:rsid w:val="0027700A"/>
    <w:rsid w:val="002879D2"/>
    <w:rsid w:val="002B001C"/>
    <w:rsid w:val="002E3C1E"/>
    <w:rsid w:val="00311365"/>
    <w:rsid w:val="00351FE7"/>
    <w:rsid w:val="00393753"/>
    <w:rsid w:val="003C1BB6"/>
    <w:rsid w:val="004120CD"/>
    <w:rsid w:val="00426F19"/>
    <w:rsid w:val="004A188C"/>
    <w:rsid w:val="004D7528"/>
    <w:rsid w:val="005563CE"/>
    <w:rsid w:val="005C4F24"/>
    <w:rsid w:val="005D124C"/>
    <w:rsid w:val="005F2A8B"/>
    <w:rsid w:val="00614CE7"/>
    <w:rsid w:val="00675232"/>
    <w:rsid w:val="006A53E3"/>
    <w:rsid w:val="006E3EE4"/>
    <w:rsid w:val="00706DD3"/>
    <w:rsid w:val="007369C9"/>
    <w:rsid w:val="007802BF"/>
    <w:rsid w:val="007B1EB8"/>
    <w:rsid w:val="007B7A08"/>
    <w:rsid w:val="007D7F5F"/>
    <w:rsid w:val="007E518D"/>
    <w:rsid w:val="00835A11"/>
    <w:rsid w:val="00855958"/>
    <w:rsid w:val="008A4350"/>
    <w:rsid w:val="008A46BD"/>
    <w:rsid w:val="00935C74"/>
    <w:rsid w:val="00942B30"/>
    <w:rsid w:val="0096333D"/>
    <w:rsid w:val="0098622E"/>
    <w:rsid w:val="009A3202"/>
    <w:rsid w:val="009E7BCC"/>
    <w:rsid w:val="00A318AD"/>
    <w:rsid w:val="00A7184A"/>
    <w:rsid w:val="00A7510B"/>
    <w:rsid w:val="00AD146A"/>
    <w:rsid w:val="00AF2626"/>
    <w:rsid w:val="00B170CF"/>
    <w:rsid w:val="00B558A3"/>
    <w:rsid w:val="00B70E3B"/>
    <w:rsid w:val="00BA3698"/>
    <w:rsid w:val="00BB00A7"/>
    <w:rsid w:val="00C165E8"/>
    <w:rsid w:val="00C3741F"/>
    <w:rsid w:val="00C73F58"/>
    <w:rsid w:val="00C85936"/>
    <w:rsid w:val="00C9630C"/>
    <w:rsid w:val="00CE22AD"/>
    <w:rsid w:val="00D11482"/>
    <w:rsid w:val="00D4375C"/>
    <w:rsid w:val="00D82B15"/>
    <w:rsid w:val="00DA203E"/>
    <w:rsid w:val="00DE16FF"/>
    <w:rsid w:val="00DF5F76"/>
    <w:rsid w:val="00EA1C2B"/>
    <w:rsid w:val="00EA4D5E"/>
    <w:rsid w:val="00EB74C1"/>
    <w:rsid w:val="00EE528C"/>
    <w:rsid w:val="00EE7225"/>
    <w:rsid w:val="00F17538"/>
    <w:rsid w:val="00F5290E"/>
    <w:rsid w:val="00F56D31"/>
    <w:rsid w:val="00F74D16"/>
    <w:rsid w:val="00FA2242"/>
    <w:rsid w:val="00FE64C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319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9B9"/>
    <w:rPr>
      <w:sz w:val="20"/>
      <w:szCs w:val="20"/>
    </w:rPr>
  </w:style>
  <w:style w:type="character" w:styleId="FootnoteReference">
    <w:name w:val="footnote reference"/>
    <w:basedOn w:val="DefaultParagraphFont"/>
    <w:semiHidden/>
    <w:unhideWhenUsed/>
    <w:rsid w:val="001319B9"/>
    <w:rPr>
      <w:vertAlign w:val="superscript"/>
    </w:rPr>
  </w:style>
  <w:style w:type="paragraph" w:styleId="BalloonText">
    <w:name w:val="Balloon Text"/>
    <w:basedOn w:val="Normal"/>
    <w:link w:val="BalloonTextChar"/>
    <w:uiPriority w:val="99"/>
    <w:semiHidden/>
    <w:unhideWhenUsed/>
    <w:rsid w:val="009E7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BCC"/>
    <w:rPr>
      <w:rFonts w:ascii="Tahoma" w:hAnsi="Tahoma" w:cs="Tahoma"/>
      <w:sz w:val="16"/>
      <w:szCs w:val="16"/>
    </w:rPr>
  </w:style>
  <w:style w:type="paragraph" w:styleId="ListParagraph">
    <w:name w:val="List Paragraph"/>
    <w:basedOn w:val="Normal"/>
    <w:uiPriority w:val="34"/>
    <w:qFormat/>
    <w:rsid w:val="002B00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319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9B9"/>
    <w:rPr>
      <w:sz w:val="20"/>
      <w:szCs w:val="20"/>
    </w:rPr>
  </w:style>
  <w:style w:type="character" w:styleId="FootnoteReference">
    <w:name w:val="footnote reference"/>
    <w:basedOn w:val="DefaultParagraphFont"/>
    <w:semiHidden/>
    <w:unhideWhenUsed/>
    <w:rsid w:val="001319B9"/>
    <w:rPr>
      <w:vertAlign w:val="superscript"/>
    </w:rPr>
  </w:style>
  <w:style w:type="paragraph" w:styleId="BalloonText">
    <w:name w:val="Balloon Text"/>
    <w:basedOn w:val="Normal"/>
    <w:link w:val="BalloonTextChar"/>
    <w:uiPriority w:val="99"/>
    <w:semiHidden/>
    <w:unhideWhenUsed/>
    <w:rsid w:val="009E7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BCC"/>
    <w:rPr>
      <w:rFonts w:ascii="Tahoma" w:hAnsi="Tahoma" w:cs="Tahoma"/>
      <w:sz w:val="16"/>
      <w:szCs w:val="16"/>
    </w:rPr>
  </w:style>
  <w:style w:type="paragraph" w:styleId="ListParagraph">
    <w:name w:val="List Paragraph"/>
    <w:basedOn w:val="Normal"/>
    <w:uiPriority w:val="34"/>
    <w:qFormat/>
    <w:rsid w:val="002B0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oleObject2.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345276872964167E-2"/>
          <c:y val="3.0640668523677018E-2"/>
          <c:w val="0.95765472312703581"/>
          <c:h val="0.72980501392758013"/>
        </c:manualLayout>
      </c:layout>
      <c:lineChart>
        <c:grouping val="standard"/>
        <c:varyColors val="0"/>
        <c:ser>
          <c:idx val="0"/>
          <c:order val="0"/>
          <c:tx>
            <c:strRef>
              <c:f>Sheet1!$A$2</c:f>
              <c:strCache>
                <c:ptCount val="1"/>
                <c:pt idx="0">
                  <c:v>Life expectancy in Macedonia</c:v>
                </c:pt>
              </c:strCache>
            </c:strRef>
          </c:tx>
          <c:spPr>
            <a:ln w="12700">
              <a:solidFill>
                <a:srgbClr val="FF0000"/>
              </a:solidFill>
              <a:prstDash val="solid"/>
            </a:ln>
          </c:spPr>
          <c:marker>
            <c:symbol val="circle"/>
            <c:size val="5"/>
            <c:spPr>
              <a:solidFill>
                <a:srgbClr val="000080"/>
              </a:solidFill>
              <a:ln>
                <a:solidFill>
                  <a:srgbClr val="FF0000"/>
                </a:solidFill>
                <a:prstDash val="solid"/>
              </a:ln>
            </c:spPr>
          </c:marker>
          <c:cat>
            <c:numRef>
              <c:f>Sheet1!$B$1:$AF$1</c:f>
              <c:numCache>
                <c:formatCode>General</c:formatCode>
                <c:ptCount val="3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numCache>
            </c:numRef>
          </c:cat>
          <c:val>
            <c:numRef>
              <c:f>Sheet1!$B$2:$AF$2</c:f>
              <c:numCache>
                <c:formatCode>General</c:formatCode>
                <c:ptCount val="31"/>
                <c:pt idx="0">
                  <c:v>69.7</c:v>
                </c:pt>
                <c:pt idx="1">
                  <c:v>69.7</c:v>
                </c:pt>
                <c:pt idx="2">
                  <c:v>69.7</c:v>
                </c:pt>
                <c:pt idx="3">
                  <c:v>69.8</c:v>
                </c:pt>
                <c:pt idx="4">
                  <c:v>69.900000000000006</c:v>
                </c:pt>
                <c:pt idx="5">
                  <c:v>70.099999999999994</c:v>
                </c:pt>
                <c:pt idx="6">
                  <c:v>70.400000000000006</c:v>
                </c:pt>
                <c:pt idx="7">
                  <c:v>70.599999999999994</c:v>
                </c:pt>
                <c:pt idx="8">
                  <c:v>70.900000000000006</c:v>
                </c:pt>
                <c:pt idx="9">
                  <c:v>71.099999999999994</c:v>
                </c:pt>
                <c:pt idx="10">
                  <c:v>71.3</c:v>
                </c:pt>
                <c:pt idx="11">
                  <c:v>71.5</c:v>
                </c:pt>
                <c:pt idx="12">
                  <c:v>71.599999999999994</c:v>
                </c:pt>
                <c:pt idx="13">
                  <c:v>71.8</c:v>
                </c:pt>
                <c:pt idx="14">
                  <c:v>71.900000000000006</c:v>
                </c:pt>
                <c:pt idx="15">
                  <c:v>72.099999999999994</c:v>
                </c:pt>
                <c:pt idx="16">
                  <c:v>72.400000000000006</c:v>
                </c:pt>
                <c:pt idx="17">
                  <c:v>72.599999999999994</c:v>
                </c:pt>
                <c:pt idx="18">
                  <c:v>72.7</c:v>
                </c:pt>
                <c:pt idx="19">
                  <c:v>72.8</c:v>
                </c:pt>
                <c:pt idx="20">
                  <c:v>73.2</c:v>
                </c:pt>
                <c:pt idx="21">
                  <c:v>73.2</c:v>
                </c:pt>
                <c:pt idx="22">
                  <c:v>73.3</c:v>
                </c:pt>
                <c:pt idx="23">
                  <c:v>73.400000000000006</c:v>
                </c:pt>
                <c:pt idx="24">
                  <c:v>73.599999999999994</c:v>
                </c:pt>
                <c:pt idx="25">
                  <c:v>73.8</c:v>
                </c:pt>
                <c:pt idx="26">
                  <c:v>73.8</c:v>
                </c:pt>
                <c:pt idx="27">
                  <c:v>74</c:v>
                </c:pt>
                <c:pt idx="28">
                  <c:v>74.2</c:v>
                </c:pt>
                <c:pt idx="29">
                  <c:v>74.599999999999994</c:v>
                </c:pt>
                <c:pt idx="30">
                  <c:v>75.099999999999994</c:v>
                </c:pt>
              </c:numCache>
            </c:numRef>
          </c:val>
          <c:smooth val="0"/>
        </c:ser>
        <c:ser>
          <c:idx val="1"/>
          <c:order val="1"/>
          <c:tx>
            <c:strRef>
              <c:f>Sheet1!$A$3</c:f>
              <c:strCache>
                <c:ptCount val="1"/>
                <c:pt idx="0">
                  <c:v>Life expectancy in EU countries</c:v>
                </c:pt>
              </c:strCache>
            </c:strRef>
          </c:tx>
          <c:spPr>
            <a:ln w="12700">
              <a:solidFill>
                <a:srgbClr val="0000FF"/>
              </a:solidFill>
              <a:prstDash val="solid"/>
            </a:ln>
          </c:spPr>
          <c:marker>
            <c:symbol val="triangle"/>
            <c:size val="5"/>
            <c:spPr>
              <a:solidFill>
                <a:srgbClr val="0000FF"/>
              </a:solidFill>
              <a:ln>
                <a:solidFill>
                  <a:srgbClr val="0000FF"/>
                </a:solidFill>
                <a:prstDash val="solid"/>
              </a:ln>
            </c:spPr>
          </c:marker>
          <c:cat>
            <c:numRef>
              <c:f>Sheet1!$B$1:$AF$1</c:f>
              <c:numCache>
                <c:formatCode>General</c:formatCode>
                <c:ptCount val="3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numCache>
            </c:numRef>
          </c:cat>
          <c:val>
            <c:numRef>
              <c:f>Sheet1!$B$3:$AF$3</c:f>
              <c:numCache>
                <c:formatCode>General</c:formatCode>
                <c:ptCount val="31"/>
                <c:pt idx="0">
                  <c:v>72.900000000000006</c:v>
                </c:pt>
                <c:pt idx="1">
                  <c:v>73.3</c:v>
                </c:pt>
                <c:pt idx="2">
                  <c:v>73.5</c:v>
                </c:pt>
                <c:pt idx="3">
                  <c:v>73.599999999999994</c:v>
                </c:pt>
                <c:pt idx="4">
                  <c:v>73.900000000000006</c:v>
                </c:pt>
                <c:pt idx="5">
                  <c:v>73.900000000000006</c:v>
                </c:pt>
                <c:pt idx="6">
                  <c:v>74.2</c:v>
                </c:pt>
                <c:pt idx="7">
                  <c:v>74.400000000000006</c:v>
                </c:pt>
                <c:pt idx="8">
                  <c:v>74.599999999999994</c:v>
                </c:pt>
                <c:pt idx="9">
                  <c:v>74.8</c:v>
                </c:pt>
                <c:pt idx="10">
                  <c:v>74.900000000000006</c:v>
                </c:pt>
                <c:pt idx="11">
                  <c:v>75</c:v>
                </c:pt>
                <c:pt idx="12">
                  <c:v>75.3</c:v>
                </c:pt>
                <c:pt idx="13">
                  <c:v>75.400000000000006</c:v>
                </c:pt>
                <c:pt idx="14">
                  <c:v>75.7</c:v>
                </c:pt>
                <c:pt idx="15">
                  <c:v>75.8</c:v>
                </c:pt>
                <c:pt idx="16">
                  <c:v>76.099999999999994</c:v>
                </c:pt>
                <c:pt idx="17">
                  <c:v>76.400000000000006</c:v>
                </c:pt>
                <c:pt idx="18">
                  <c:v>76.599999999999994</c:v>
                </c:pt>
                <c:pt idx="19">
                  <c:v>76.8</c:v>
                </c:pt>
                <c:pt idx="20">
                  <c:v>77.2</c:v>
                </c:pt>
                <c:pt idx="21">
                  <c:v>77.5</c:v>
                </c:pt>
                <c:pt idx="22">
                  <c:v>77.599999999999994</c:v>
                </c:pt>
                <c:pt idx="23">
                  <c:v>77.7</c:v>
                </c:pt>
                <c:pt idx="24">
                  <c:v>78.2</c:v>
                </c:pt>
                <c:pt idx="25">
                  <c:v>78.400000000000006</c:v>
                </c:pt>
                <c:pt idx="26">
                  <c:v>78.7</c:v>
                </c:pt>
                <c:pt idx="27">
                  <c:v>78.900000000000006</c:v>
                </c:pt>
                <c:pt idx="28">
                  <c:v>79.099999999999994</c:v>
                </c:pt>
                <c:pt idx="29">
                  <c:v>79.400000000000006</c:v>
                </c:pt>
                <c:pt idx="30">
                  <c:v>79.599999999999994</c:v>
                </c:pt>
              </c:numCache>
            </c:numRef>
          </c:val>
          <c:smooth val="0"/>
        </c:ser>
        <c:dLbls>
          <c:showLegendKey val="0"/>
          <c:showVal val="0"/>
          <c:showCatName val="0"/>
          <c:showSerName val="0"/>
          <c:showPercent val="0"/>
          <c:showBubbleSize val="0"/>
        </c:dLbls>
        <c:marker val="1"/>
        <c:smooth val="0"/>
        <c:axId val="123916288"/>
        <c:axId val="123918208"/>
      </c:lineChart>
      <c:catAx>
        <c:axId val="123916288"/>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lang="en-US" sz="900" b="0" i="0" u="none" strike="noStrike" baseline="0">
                <a:solidFill>
                  <a:srgbClr val="000000"/>
                </a:solidFill>
                <a:latin typeface="Arial"/>
                <a:ea typeface="Arial"/>
                <a:cs typeface="Arial"/>
              </a:defRPr>
            </a:pPr>
            <a:endParaRPr lang="mk-MK"/>
          </a:p>
        </c:txPr>
        <c:crossAx val="123918208"/>
        <c:crosses val="autoZero"/>
        <c:auto val="1"/>
        <c:lblAlgn val="ctr"/>
        <c:lblOffset val="100"/>
        <c:tickLblSkip val="1"/>
        <c:tickMarkSkip val="1"/>
        <c:noMultiLvlLbl val="0"/>
      </c:catAx>
      <c:valAx>
        <c:axId val="12391820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mk-MK"/>
          </a:p>
        </c:txPr>
        <c:crossAx val="123916288"/>
        <c:crosses val="autoZero"/>
        <c:crossBetween val="between"/>
      </c:valAx>
      <c:spPr>
        <a:solidFill>
          <a:srgbClr val="C0C0C0"/>
        </a:solidFill>
        <a:ln w="12700">
          <a:solidFill>
            <a:srgbClr val="808080"/>
          </a:solidFill>
          <a:prstDash val="solid"/>
        </a:ln>
      </c:spPr>
    </c:plotArea>
    <c:legend>
      <c:legendPos val="r"/>
      <c:layout>
        <c:manualLayout>
          <c:xMode val="edge"/>
          <c:yMode val="edge"/>
          <c:x val="6.18892508143324E-2"/>
          <c:y val="0.88579387186629588"/>
          <c:w val="0.90553745928338769"/>
          <c:h val="7.7994428969359472E-2"/>
        </c:manualLayout>
      </c:layout>
      <c:overlay val="0"/>
      <c:spPr>
        <a:noFill/>
        <a:ln w="3175">
          <a:solidFill>
            <a:srgbClr val="000000"/>
          </a:solidFill>
          <a:prstDash val="solid"/>
        </a:ln>
      </c:spPr>
      <c:txPr>
        <a:bodyPr/>
        <a:lstStyle/>
        <a:p>
          <a:pPr>
            <a:defRPr lang="en-US" sz="690" b="0" i="0" u="none" strike="noStrike" baseline="0">
              <a:solidFill>
                <a:srgbClr val="000000"/>
              </a:solidFill>
              <a:latin typeface="Arial"/>
              <a:ea typeface="Arial"/>
              <a:cs typeface="Arial"/>
            </a:defRPr>
          </a:pPr>
          <a:endParaRPr lang="mk-MK"/>
        </a:p>
      </c:txPr>
    </c:legend>
    <c:plotVisOnly val="1"/>
    <c:dispBlanksAs val="gap"/>
    <c:showDLblsOverMax val="0"/>
  </c:chart>
  <c:spPr>
    <a:noFill/>
    <a:ln>
      <a:noFill/>
    </a:ln>
  </c:spPr>
  <c:txPr>
    <a:bodyPr/>
    <a:lstStyle/>
    <a:p>
      <a:pPr>
        <a:defRPr sz="1575" b="1" i="0" u="none" strike="noStrike" baseline="0">
          <a:solidFill>
            <a:srgbClr val="000000"/>
          </a:solidFill>
          <a:latin typeface="Arial"/>
          <a:ea typeface="Arial"/>
          <a:cs typeface="Arial"/>
        </a:defRPr>
      </a:pPr>
      <a:endParaRPr lang="mk-M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914361666330235E-2"/>
          <c:y val="2.2797591477535895E-2"/>
          <c:w val="0.92345276872963855"/>
          <c:h val="0.72980501392758013"/>
        </c:manualLayout>
      </c:layout>
      <c:lineChart>
        <c:grouping val="standard"/>
        <c:varyColors val="0"/>
        <c:ser>
          <c:idx val="0"/>
          <c:order val="0"/>
          <c:tx>
            <c:strRef>
              <c:f>Sheet1!$A$2</c:f>
              <c:strCache>
                <c:ptCount val="1"/>
                <c:pt idx="0">
                  <c:v>GDP per capita in Macedonia</c:v>
                </c:pt>
              </c:strCache>
            </c:strRef>
          </c:tx>
          <c:spPr>
            <a:ln w="12700">
              <a:solidFill>
                <a:srgbClr val="FF0000"/>
              </a:solidFill>
              <a:prstDash val="solid"/>
            </a:ln>
          </c:spPr>
          <c:marker>
            <c:symbol val="circle"/>
            <c:size val="5"/>
            <c:spPr>
              <a:solidFill>
                <a:srgbClr val="000080"/>
              </a:solidFill>
              <a:ln>
                <a:solidFill>
                  <a:srgbClr val="FF0000"/>
                </a:solidFill>
                <a:prstDash val="solid"/>
              </a:ln>
            </c:spPr>
          </c:marker>
          <c:cat>
            <c:numRef>
              <c:f>Sheet1!$B$1:$S$1</c:f>
              <c:numCache>
                <c:formatCode>General</c:formatCode>
                <c:ptCount val="18"/>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numCache>
            </c:numRef>
          </c:cat>
          <c:val>
            <c:numRef>
              <c:f>Sheet1!$B$2:$S$2</c:f>
              <c:numCache>
                <c:formatCode>General</c:formatCode>
                <c:ptCount val="18"/>
                <c:pt idx="0">
                  <c:v>1311.6</c:v>
                </c:pt>
                <c:pt idx="1">
                  <c:v>1730.55</c:v>
                </c:pt>
                <c:pt idx="2">
                  <c:v>2266.06</c:v>
                </c:pt>
                <c:pt idx="3">
                  <c:v>2241.02</c:v>
                </c:pt>
                <c:pt idx="4">
                  <c:v>1883.6699999999998</c:v>
                </c:pt>
                <c:pt idx="5">
                  <c:v>1792.33</c:v>
                </c:pt>
                <c:pt idx="6">
                  <c:v>1835.56</c:v>
                </c:pt>
                <c:pt idx="7">
                  <c:v>1785.56</c:v>
                </c:pt>
                <c:pt idx="8">
                  <c:v>1704.78</c:v>
                </c:pt>
                <c:pt idx="9">
                  <c:v>1874.79</c:v>
                </c:pt>
                <c:pt idx="10">
                  <c:v>2345.4899999999998</c:v>
                </c:pt>
                <c:pt idx="11">
                  <c:v>2712.32</c:v>
                </c:pt>
                <c:pt idx="12">
                  <c:v>2936.94</c:v>
                </c:pt>
                <c:pt idx="13">
                  <c:v>3211.09</c:v>
                </c:pt>
                <c:pt idx="14">
                  <c:v>3984.44</c:v>
                </c:pt>
                <c:pt idx="15">
                  <c:v>4791.1900000000014</c:v>
                </c:pt>
                <c:pt idx="16">
                  <c:v>4528.25</c:v>
                </c:pt>
                <c:pt idx="17">
                  <c:v>4434.49</c:v>
                </c:pt>
              </c:numCache>
            </c:numRef>
          </c:val>
          <c:smooth val="0"/>
        </c:ser>
        <c:ser>
          <c:idx val="1"/>
          <c:order val="1"/>
          <c:tx>
            <c:strRef>
              <c:f>Sheet1!$A$3</c:f>
              <c:strCache>
                <c:ptCount val="1"/>
                <c:pt idx="0">
                  <c:v>Average GDP per capita in EU countries</c:v>
                </c:pt>
              </c:strCache>
            </c:strRef>
          </c:tx>
          <c:spPr>
            <a:ln w="12700">
              <a:solidFill>
                <a:srgbClr val="0000FF"/>
              </a:solidFill>
              <a:prstDash val="solid"/>
            </a:ln>
          </c:spPr>
          <c:marker>
            <c:symbol val="triangle"/>
            <c:size val="5"/>
            <c:spPr>
              <a:solidFill>
                <a:srgbClr val="0000FF"/>
              </a:solidFill>
              <a:ln>
                <a:solidFill>
                  <a:srgbClr val="0000FF"/>
                </a:solidFill>
                <a:prstDash val="solid"/>
              </a:ln>
            </c:spPr>
          </c:marker>
          <c:cat>
            <c:numRef>
              <c:f>Sheet1!$B$1:$S$1</c:f>
              <c:numCache>
                <c:formatCode>General</c:formatCode>
                <c:ptCount val="18"/>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numCache>
            </c:numRef>
          </c:cat>
          <c:val>
            <c:numRef>
              <c:f>Sheet1!$B$3:$S$3</c:f>
              <c:numCache>
                <c:formatCode>General</c:formatCode>
                <c:ptCount val="18"/>
                <c:pt idx="0">
                  <c:v>15748.91</c:v>
                </c:pt>
                <c:pt idx="1">
                  <c:v>16714.309999999972</c:v>
                </c:pt>
                <c:pt idx="2">
                  <c:v>19173.490000000005</c:v>
                </c:pt>
                <c:pt idx="3">
                  <c:v>19535.309999999972</c:v>
                </c:pt>
                <c:pt idx="4">
                  <c:v>18395.849999999973</c:v>
                </c:pt>
                <c:pt idx="5">
                  <c:v>19008.73</c:v>
                </c:pt>
                <c:pt idx="6">
                  <c:v>18966.59</c:v>
                </c:pt>
                <c:pt idx="7">
                  <c:v>17541.93</c:v>
                </c:pt>
                <c:pt idx="8">
                  <c:v>17716.29</c:v>
                </c:pt>
                <c:pt idx="9">
                  <c:v>19261.87</c:v>
                </c:pt>
                <c:pt idx="10">
                  <c:v>23388.77</c:v>
                </c:pt>
                <c:pt idx="11">
                  <c:v>26878.280000000021</c:v>
                </c:pt>
                <c:pt idx="12">
                  <c:v>27975.69</c:v>
                </c:pt>
                <c:pt idx="13">
                  <c:v>29699.360000000001</c:v>
                </c:pt>
                <c:pt idx="14">
                  <c:v>34187.800000000003</c:v>
                </c:pt>
                <c:pt idx="15">
                  <c:v>36588.340000000011</c:v>
                </c:pt>
                <c:pt idx="16">
                  <c:v>32584</c:v>
                </c:pt>
                <c:pt idx="17">
                  <c:v>32198.55</c:v>
                </c:pt>
              </c:numCache>
            </c:numRef>
          </c:val>
          <c:smooth val="0"/>
        </c:ser>
        <c:dLbls>
          <c:showLegendKey val="0"/>
          <c:showVal val="0"/>
          <c:showCatName val="0"/>
          <c:showSerName val="0"/>
          <c:showPercent val="0"/>
          <c:showBubbleSize val="0"/>
        </c:dLbls>
        <c:marker val="1"/>
        <c:smooth val="0"/>
        <c:axId val="123422592"/>
        <c:axId val="123445248"/>
      </c:lineChart>
      <c:catAx>
        <c:axId val="123422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lang="en-US" sz="900" b="0" i="0" u="none" strike="noStrike" baseline="0">
                <a:solidFill>
                  <a:srgbClr val="000000"/>
                </a:solidFill>
                <a:latin typeface="Arial"/>
                <a:ea typeface="Arial"/>
                <a:cs typeface="Arial"/>
              </a:defRPr>
            </a:pPr>
            <a:endParaRPr lang="mk-MK"/>
          </a:p>
        </c:txPr>
        <c:crossAx val="123445248"/>
        <c:crosses val="autoZero"/>
        <c:auto val="1"/>
        <c:lblAlgn val="ctr"/>
        <c:lblOffset val="100"/>
        <c:tickLblSkip val="1"/>
        <c:tickMarkSkip val="1"/>
        <c:noMultiLvlLbl val="0"/>
      </c:catAx>
      <c:valAx>
        <c:axId val="1234452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mk-MK"/>
          </a:p>
        </c:txPr>
        <c:crossAx val="123422592"/>
        <c:crosses val="autoZero"/>
        <c:crossBetween val="between"/>
      </c:valAx>
      <c:spPr>
        <a:solidFill>
          <a:srgbClr val="C0C0C0"/>
        </a:solidFill>
        <a:ln w="12700">
          <a:solidFill>
            <a:srgbClr val="808080"/>
          </a:solidFill>
          <a:prstDash val="solid"/>
        </a:ln>
      </c:spPr>
    </c:plotArea>
    <c:legend>
      <c:legendPos val="r"/>
      <c:layout>
        <c:manualLayout>
          <c:xMode val="edge"/>
          <c:yMode val="edge"/>
          <c:x val="6.02605863192184E-2"/>
          <c:y val="0.88579387186629521"/>
          <c:w val="0.90553745928338769"/>
          <c:h val="7.7994428969359333E-2"/>
        </c:manualLayout>
      </c:layout>
      <c:overlay val="0"/>
      <c:spPr>
        <a:noFill/>
        <a:ln w="3175">
          <a:solidFill>
            <a:srgbClr val="000000"/>
          </a:solidFill>
          <a:prstDash val="solid"/>
        </a:ln>
      </c:spPr>
      <c:txPr>
        <a:bodyPr/>
        <a:lstStyle/>
        <a:p>
          <a:pPr>
            <a:defRPr lang="en-US" sz="690" b="0" i="0" u="none" strike="noStrike" baseline="0">
              <a:solidFill>
                <a:srgbClr val="000000"/>
              </a:solidFill>
              <a:latin typeface="Arial"/>
              <a:ea typeface="Arial"/>
              <a:cs typeface="Arial"/>
            </a:defRPr>
          </a:pPr>
          <a:endParaRPr lang="mk-MK"/>
        </a:p>
      </c:txPr>
    </c:legend>
    <c:plotVisOnly val="1"/>
    <c:dispBlanksAs val="gap"/>
    <c:showDLblsOverMax val="0"/>
  </c:chart>
  <c:spPr>
    <a:noFill/>
    <a:ln>
      <a:noFill/>
    </a:ln>
  </c:spPr>
  <c:txPr>
    <a:bodyPr/>
    <a:lstStyle/>
    <a:p>
      <a:pPr>
        <a:defRPr sz="1575" b="1" i="0" u="none" strike="noStrike" baseline="0">
          <a:solidFill>
            <a:srgbClr val="000000"/>
          </a:solidFill>
          <a:latin typeface="Arial"/>
          <a:ea typeface="Arial"/>
          <a:cs typeface="Arial"/>
        </a:defRPr>
      </a:pPr>
      <a:endParaRPr lang="mk-MK"/>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39B8E-88CA-42A6-97CF-755FD2AD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2013-12-29T18:11:00Z</dcterms:created>
  <dcterms:modified xsi:type="dcterms:W3CDTF">2013-12-30T07:35:00Z</dcterms:modified>
</cp:coreProperties>
</file>