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502" w:rsidRDefault="00A47502" w:rsidP="00A47502">
      <w:pPr>
        <w:rPr>
          <w:b/>
          <w:szCs w:val="24"/>
        </w:rPr>
      </w:pPr>
      <w:r>
        <w:rPr>
          <w:b/>
          <w:szCs w:val="24"/>
        </w:rPr>
        <w:t>Доц. д-р Никола В. ДИМИТРОВ</w:t>
      </w:r>
      <w:r>
        <w:rPr>
          <w:rStyle w:val="FootnoteReference"/>
          <w:b/>
          <w:szCs w:val="24"/>
        </w:rPr>
        <w:footnoteReference w:id="2"/>
      </w:r>
    </w:p>
    <w:p w:rsidR="00A47502" w:rsidRPr="00C66203" w:rsidRDefault="00A47502" w:rsidP="00A47502">
      <w:pPr>
        <w:rPr>
          <w:b/>
          <w:szCs w:val="24"/>
        </w:rPr>
      </w:pPr>
      <w:r>
        <w:rPr>
          <w:b/>
          <w:szCs w:val="24"/>
        </w:rPr>
        <w:t>М-р Душко ЈОШЕСКИ</w:t>
      </w:r>
      <w:r>
        <w:rPr>
          <w:rStyle w:val="FootnoteReference"/>
          <w:b/>
          <w:szCs w:val="24"/>
        </w:rPr>
        <w:footnoteReference w:id="3"/>
      </w:r>
    </w:p>
    <w:p w:rsidR="00A47502" w:rsidRDefault="00A47502" w:rsidP="00A47502">
      <w:pPr>
        <w:jc w:val="center"/>
        <w:rPr>
          <w:b/>
          <w:sz w:val="28"/>
          <w:szCs w:val="24"/>
        </w:rPr>
      </w:pPr>
    </w:p>
    <w:p w:rsidR="00A47502" w:rsidRDefault="00A47502" w:rsidP="00A47502">
      <w:pPr>
        <w:jc w:val="center"/>
        <w:rPr>
          <w:b/>
          <w:sz w:val="28"/>
          <w:szCs w:val="24"/>
        </w:rPr>
      </w:pPr>
    </w:p>
    <w:p w:rsidR="00A47502" w:rsidRDefault="00A47502" w:rsidP="00A47502">
      <w:pPr>
        <w:jc w:val="center"/>
        <w:rPr>
          <w:b/>
          <w:sz w:val="28"/>
          <w:szCs w:val="24"/>
        </w:rPr>
      </w:pPr>
      <w:r w:rsidRPr="00C66203">
        <w:rPr>
          <w:b/>
          <w:sz w:val="28"/>
          <w:szCs w:val="24"/>
        </w:rPr>
        <w:t>ОСНОВНИ СОЦИО-ЕКОНОМСКИ ПАРАМЕТРИ ЗА УНАПРЕДУВАЊЕ НА ТУРИЗМОТ ВО ОПШТИНА ДОЈРАН</w:t>
      </w:r>
    </w:p>
    <w:p w:rsidR="00A47502" w:rsidRDefault="00A47502" w:rsidP="00A47502">
      <w:pPr>
        <w:jc w:val="center"/>
        <w:rPr>
          <w:b/>
          <w:sz w:val="28"/>
          <w:szCs w:val="24"/>
        </w:rPr>
      </w:pPr>
    </w:p>
    <w:p w:rsidR="00A47502" w:rsidRPr="00C66203" w:rsidRDefault="00A47502" w:rsidP="00A47502">
      <w:pPr>
        <w:jc w:val="center"/>
        <w:rPr>
          <w:b/>
          <w:sz w:val="28"/>
          <w:szCs w:val="24"/>
        </w:rPr>
      </w:pPr>
    </w:p>
    <w:p w:rsidR="00A47502" w:rsidRPr="00EE395B" w:rsidRDefault="00A47502" w:rsidP="00A47502">
      <w:pPr>
        <w:jc w:val="center"/>
        <w:rPr>
          <w:b/>
          <w:szCs w:val="24"/>
        </w:rPr>
      </w:pPr>
      <w:r w:rsidRPr="00EE395B">
        <w:rPr>
          <w:b/>
          <w:szCs w:val="24"/>
        </w:rPr>
        <w:t>Абстракт</w:t>
      </w:r>
    </w:p>
    <w:p w:rsidR="00A47502" w:rsidRDefault="00A47502" w:rsidP="00A47502">
      <w:pPr>
        <w:rPr>
          <w:szCs w:val="24"/>
        </w:rPr>
      </w:pPr>
      <w:r>
        <w:rPr>
          <w:szCs w:val="24"/>
        </w:rPr>
        <w:tab/>
        <w:t xml:space="preserve">Општина Дојран повеќе децении го има туристичкиот предзнак. За унапредување на туризмот важни предуслови се и социо-економските параметри. Сепак, во последните години дел од наведените параметри во континуитет бележат неповолни процеси кои имаат негативно влијание врз развојот на туризмот. </w:t>
      </w:r>
    </w:p>
    <w:p w:rsidR="00A47502" w:rsidRDefault="00A47502" w:rsidP="00A47502">
      <w:pPr>
        <w:rPr>
          <w:szCs w:val="24"/>
          <w:lang w:val="en-US"/>
        </w:rPr>
      </w:pPr>
      <w:r>
        <w:rPr>
          <w:szCs w:val="24"/>
        </w:rPr>
        <w:tab/>
        <w:t xml:space="preserve">Во рамките на дозволениот простор ќе прокоментираме за дел од социо-економските параметри за кои цениме дека заслужуваат внимание во насока за унапредување на туризмот во Општина Дојран.        </w:t>
      </w:r>
    </w:p>
    <w:p w:rsidR="00A47502" w:rsidRDefault="00A47502" w:rsidP="00A47502">
      <w:pPr>
        <w:rPr>
          <w:szCs w:val="24"/>
        </w:rPr>
      </w:pPr>
      <w:r>
        <w:rPr>
          <w:b/>
          <w:szCs w:val="24"/>
        </w:rPr>
        <w:tab/>
      </w:r>
      <w:r w:rsidRPr="00EE395B">
        <w:rPr>
          <w:b/>
          <w:szCs w:val="24"/>
        </w:rPr>
        <w:t>Клучни зборови</w:t>
      </w:r>
      <w:r>
        <w:rPr>
          <w:szCs w:val="24"/>
        </w:rPr>
        <w:t xml:space="preserve">: Општина Дојран, социо-економски параметри, туризам  </w:t>
      </w:r>
      <w:r w:rsidRPr="00C66203">
        <w:rPr>
          <w:szCs w:val="24"/>
        </w:rPr>
        <w:t xml:space="preserve"> </w:t>
      </w:r>
    </w:p>
    <w:p w:rsidR="00A47502" w:rsidRDefault="00A47502" w:rsidP="00A47502">
      <w:pPr>
        <w:rPr>
          <w:szCs w:val="24"/>
        </w:rPr>
      </w:pPr>
    </w:p>
    <w:p w:rsidR="00A47502" w:rsidRDefault="00A47502" w:rsidP="00A47502">
      <w:pPr>
        <w:rPr>
          <w:szCs w:val="24"/>
        </w:rPr>
      </w:pPr>
    </w:p>
    <w:p w:rsidR="00A47502" w:rsidRDefault="00A47502" w:rsidP="00A47502">
      <w:pPr>
        <w:tabs>
          <w:tab w:val="left" w:pos="1725"/>
        </w:tabs>
        <w:jc w:val="center"/>
        <w:rPr>
          <w:b/>
          <w:szCs w:val="24"/>
        </w:rPr>
      </w:pPr>
      <w:r w:rsidRPr="006F19B1">
        <w:rPr>
          <w:b/>
          <w:szCs w:val="24"/>
          <w:lang w:val="en-US"/>
        </w:rPr>
        <w:t xml:space="preserve">BASIC </w:t>
      </w:r>
      <w:r>
        <w:rPr>
          <w:b/>
          <w:szCs w:val="24"/>
          <w:lang w:val="en-US"/>
        </w:rPr>
        <w:t xml:space="preserve"> SOCIO</w:t>
      </w:r>
      <w:r w:rsidRPr="006F19B1">
        <w:rPr>
          <w:b/>
          <w:szCs w:val="24"/>
          <w:lang w:val="en-US"/>
        </w:rPr>
        <w:t>-ECONOMIC  FACTORS  FOR TOURISM PROMOTION IN THE MUNICIPALITY DOJRAN</w:t>
      </w:r>
    </w:p>
    <w:p w:rsidR="00A47502" w:rsidRPr="003B5E85" w:rsidRDefault="00A47502" w:rsidP="00A47502">
      <w:pPr>
        <w:tabs>
          <w:tab w:val="left" w:pos="1725"/>
        </w:tabs>
        <w:jc w:val="center"/>
        <w:rPr>
          <w:b/>
          <w:szCs w:val="24"/>
        </w:rPr>
      </w:pPr>
    </w:p>
    <w:p w:rsidR="00A47502" w:rsidRDefault="00A47502" w:rsidP="00A47502">
      <w:pPr>
        <w:tabs>
          <w:tab w:val="left" w:pos="3375"/>
        </w:tabs>
        <w:jc w:val="center"/>
        <w:rPr>
          <w:szCs w:val="24"/>
          <w:lang w:val="en-US"/>
        </w:rPr>
      </w:pPr>
      <w:r>
        <w:rPr>
          <w:szCs w:val="24"/>
          <w:lang w:val="en-US"/>
        </w:rPr>
        <w:t>Abstract</w:t>
      </w:r>
    </w:p>
    <w:p w:rsidR="00A47502" w:rsidRDefault="00A47502" w:rsidP="00A47502">
      <w:pPr>
        <w:tabs>
          <w:tab w:val="left" w:pos="0"/>
        </w:tabs>
        <w:rPr>
          <w:szCs w:val="24"/>
          <w:lang w:val="en-US"/>
        </w:rPr>
      </w:pPr>
      <w:r>
        <w:rPr>
          <w:szCs w:val="24"/>
          <w:lang w:val="en-US"/>
        </w:rPr>
        <w:tab/>
        <w:t xml:space="preserve">Municipality Dojran decades has tourist prefix. For the promotion of tourism important pre-conditions are socio-economic parameters as well. Yet, in the last years part of the listed parameters in continuity show an unfavourable processes which negatively influence on the tourism development. In the allowed space we willmake comments for the part of the socio-economic parameters for which we appreciate that they deserve the attention in a direction of tourism promotion in th emunicipality Dojran. </w:t>
      </w:r>
    </w:p>
    <w:p w:rsidR="00A47502" w:rsidRDefault="00A47502" w:rsidP="00A47502">
      <w:pPr>
        <w:tabs>
          <w:tab w:val="left" w:pos="720"/>
        </w:tabs>
        <w:rPr>
          <w:szCs w:val="24"/>
          <w:lang w:val="en-US"/>
        </w:rPr>
      </w:pPr>
      <w:r>
        <w:rPr>
          <w:b/>
          <w:szCs w:val="24"/>
          <w:lang w:val="en-US"/>
        </w:rPr>
        <w:lastRenderedPageBreak/>
        <w:tab/>
      </w:r>
      <w:r w:rsidRPr="0039092A">
        <w:rPr>
          <w:b/>
          <w:szCs w:val="24"/>
          <w:lang w:val="en-US"/>
        </w:rPr>
        <w:t>Keywords</w:t>
      </w:r>
      <w:r>
        <w:rPr>
          <w:szCs w:val="24"/>
          <w:lang w:val="en-US"/>
        </w:rPr>
        <w:t>: Municipality Dojran, socio-economic parameters, tourism</w:t>
      </w:r>
    </w:p>
    <w:p w:rsidR="00A47502" w:rsidRDefault="00A47502" w:rsidP="00A47502">
      <w:pPr>
        <w:rPr>
          <w:b/>
          <w:szCs w:val="24"/>
        </w:rPr>
      </w:pPr>
      <w:r>
        <w:rPr>
          <w:b/>
          <w:szCs w:val="24"/>
        </w:rPr>
        <w:tab/>
      </w:r>
      <w:r w:rsidRPr="00050AC2">
        <w:rPr>
          <w:b/>
          <w:szCs w:val="24"/>
        </w:rPr>
        <w:t>Вовед</w:t>
      </w:r>
    </w:p>
    <w:p w:rsidR="00A47502" w:rsidRPr="00125253" w:rsidRDefault="00A47502" w:rsidP="00A47502">
      <w:pPr>
        <w:rPr>
          <w:szCs w:val="24"/>
        </w:rPr>
      </w:pPr>
    </w:p>
    <w:p w:rsidR="00A47502" w:rsidRPr="00432E90" w:rsidRDefault="00A47502" w:rsidP="00A47502">
      <w:pPr>
        <w:rPr>
          <w:szCs w:val="24"/>
          <w:lang w:val="en-US"/>
        </w:rPr>
      </w:pPr>
      <w:r>
        <w:rPr>
          <w:szCs w:val="24"/>
        </w:rPr>
        <w:tab/>
        <w:t>Општина Дојран како езерско-туристичка дестинација најголем интерес за посета и престој има во текот на летната сезона.</w:t>
      </w:r>
      <w:r w:rsidRPr="006E0E93">
        <w:rPr>
          <w:szCs w:val="24"/>
        </w:rPr>
        <w:t xml:space="preserve"> </w:t>
      </w:r>
      <w:r>
        <w:rPr>
          <w:szCs w:val="24"/>
        </w:rPr>
        <w:t>Меѓутоа, ваквиот пристап делумно е условен и од ограничените социо-економски можности за прифаќање и престој на поголема маса туристи во текот на целата година.</w:t>
      </w:r>
      <w:r>
        <w:rPr>
          <w:szCs w:val="24"/>
        </w:rPr>
        <w:tab/>
        <w:t xml:space="preserve">Во контекст на ова ќе следат неколку табели за основните социо-економски параметри на уште осум други градови-општини, во кои туризмот има значително влијание во нивниот економски развој. Така, во аналитичкиот </w:t>
      </w:r>
      <w:r w:rsidRPr="00432E90">
        <w:rPr>
          <w:szCs w:val="24"/>
        </w:rPr>
        <w:t xml:space="preserve">примерок земени се градовите: </w:t>
      </w:r>
      <w:r w:rsidRPr="00432E90">
        <w:rPr>
          <w:b/>
          <w:bCs/>
          <w:szCs w:val="24"/>
        </w:rPr>
        <w:t>Скопје</w:t>
      </w:r>
      <w:r w:rsidRPr="00432E90">
        <w:rPr>
          <w:szCs w:val="24"/>
        </w:rPr>
        <w:t xml:space="preserve"> - главен град </w:t>
      </w:r>
      <w:r>
        <w:rPr>
          <w:szCs w:val="24"/>
        </w:rPr>
        <w:t>и важна туристичка дестинација во Р.</w:t>
      </w:r>
      <w:r w:rsidRPr="00432E90">
        <w:rPr>
          <w:szCs w:val="24"/>
        </w:rPr>
        <w:t xml:space="preserve"> Македонија, </w:t>
      </w:r>
      <w:r w:rsidRPr="00432E90">
        <w:rPr>
          <w:b/>
          <w:bCs/>
          <w:szCs w:val="24"/>
        </w:rPr>
        <w:t>Тетово</w:t>
      </w:r>
      <w:r w:rsidRPr="00432E90">
        <w:rPr>
          <w:szCs w:val="24"/>
          <w:lang w:val="en-US"/>
        </w:rPr>
        <w:t xml:space="preserve"> </w:t>
      </w:r>
      <w:r>
        <w:rPr>
          <w:szCs w:val="24"/>
          <w:lang w:val="en-US"/>
        </w:rPr>
        <w:t>–</w:t>
      </w:r>
      <w:r w:rsidRPr="00432E90">
        <w:rPr>
          <w:szCs w:val="24"/>
          <w:lang w:val="en-US"/>
        </w:rPr>
        <w:t xml:space="preserve"> </w:t>
      </w:r>
      <w:r w:rsidRPr="00432E90">
        <w:rPr>
          <w:szCs w:val="24"/>
        </w:rPr>
        <w:t>втор</w:t>
      </w:r>
      <w:r>
        <w:rPr>
          <w:szCs w:val="24"/>
        </w:rPr>
        <w:t xml:space="preserve">а општина </w:t>
      </w:r>
      <w:r w:rsidRPr="00432E90">
        <w:rPr>
          <w:szCs w:val="24"/>
        </w:rPr>
        <w:t xml:space="preserve">по бројот на угостителски капацитети, па </w:t>
      </w:r>
      <w:r w:rsidRPr="00432E90">
        <w:rPr>
          <w:b/>
          <w:bCs/>
          <w:szCs w:val="24"/>
        </w:rPr>
        <w:t>Битола и Гевгелија</w:t>
      </w:r>
      <w:r w:rsidRPr="00432E90">
        <w:rPr>
          <w:szCs w:val="24"/>
        </w:rPr>
        <w:t xml:space="preserve">, </w:t>
      </w:r>
      <w:r>
        <w:rPr>
          <w:szCs w:val="24"/>
        </w:rPr>
        <w:t>градски места и туристички погранични општини</w:t>
      </w:r>
      <w:r w:rsidRPr="00432E90">
        <w:rPr>
          <w:szCs w:val="24"/>
        </w:rPr>
        <w:t xml:space="preserve">, понатаму </w:t>
      </w:r>
      <w:r w:rsidRPr="00432E90">
        <w:rPr>
          <w:b/>
          <w:bCs/>
          <w:szCs w:val="24"/>
        </w:rPr>
        <w:t xml:space="preserve">Струга и Охрид </w:t>
      </w:r>
      <w:r w:rsidRPr="00432E90">
        <w:rPr>
          <w:szCs w:val="24"/>
        </w:rPr>
        <w:t xml:space="preserve">– туристички градови </w:t>
      </w:r>
      <w:r>
        <w:rPr>
          <w:szCs w:val="24"/>
        </w:rPr>
        <w:t xml:space="preserve">и општини </w:t>
      </w:r>
      <w:r w:rsidRPr="00432E90">
        <w:rPr>
          <w:szCs w:val="24"/>
        </w:rPr>
        <w:t xml:space="preserve">на брегот на Охридско Езеро, </w:t>
      </w:r>
      <w:r w:rsidRPr="00432E90">
        <w:rPr>
          <w:b/>
          <w:bCs/>
          <w:szCs w:val="24"/>
        </w:rPr>
        <w:t>Ресен</w:t>
      </w:r>
      <w:r w:rsidRPr="00432E90">
        <w:rPr>
          <w:szCs w:val="24"/>
        </w:rPr>
        <w:t xml:space="preserve"> – </w:t>
      </w:r>
      <w:r>
        <w:rPr>
          <w:szCs w:val="24"/>
        </w:rPr>
        <w:t xml:space="preserve">градска населба и </w:t>
      </w:r>
      <w:r w:rsidRPr="00432E90">
        <w:rPr>
          <w:szCs w:val="24"/>
        </w:rPr>
        <w:t xml:space="preserve">општински центар во туристичката зона </w:t>
      </w:r>
      <w:r>
        <w:rPr>
          <w:szCs w:val="24"/>
        </w:rPr>
        <w:t xml:space="preserve">на </w:t>
      </w:r>
      <w:r w:rsidRPr="00432E90">
        <w:rPr>
          <w:szCs w:val="24"/>
        </w:rPr>
        <w:t>Преспанско</w:t>
      </w:r>
      <w:r>
        <w:rPr>
          <w:szCs w:val="24"/>
        </w:rPr>
        <w:t>то</w:t>
      </w:r>
      <w:r w:rsidRPr="00432E90">
        <w:rPr>
          <w:szCs w:val="24"/>
        </w:rPr>
        <w:t xml:space="preserve"> Езеро, и </w:t>
      </w:r>
      <w:r w:rsidRPr="00432E90">
        <w:rPr>
          <w:b/>
          <w:bCs/>
          <w:szCs w:val="24"/>
        </w:rPr>
        <w:t>Крушево</w:t>
      </w:r>
      <w:r w:rsidRPr="00432E90">
        <w:rPr>
          <w:szCs w:val="24"/>
        </w:rPr>
        <w:t xml:space="preserve"> </w:t>
      </w:r>
      <w:r>
        <w:rPr>
          <w:szCs w:val="24"/>
        </w:rPr>
        <w:t>–</w:t>
      </w:r>
      <w:r w:rsidRPr="00432E90">
        <w:rPr>
          <w:szCs w:val="24"/>
        </w:rPr>
        <w:t xml:space="preserve"> </w:t>
      </w:r>
      <w:r>
        <w:rPr>
          <w:szCs w:val="24"/>
        </w:rPr>
        <w:t xml:space="preserve">град и општина како </w:t>
      </w:r>
      <w:r w:rsidRPr="00432E90">
        <w:rPr>
          <w:szCs w:val="24"/>
        </w:rPr>
        <w:t>зимск</w:t>
      </w:r>
      <w:r>
        <w:rPr>
          <w:szCs w:val="24"/>
        </w:rPr>
        <w:t xml:space="preserve">о-летен </w:t>
      </w:r>
      <w:r w:rsidRPr="00432E90">
        <w:rPr>
          <w:szCs w:val="24"/>
        </w:rPr>
        <w:t>туристички центар.</w:t>
      </w:r>
    </w:p>
    <w:p w:rsidR="00A47502" w:rsidRDefault="00A47502" w:rsidP="00A47502">
      <w:pPr>
        <w:rPr>
          <w:szCs w:val="24"/>
        </w:rPr>
      </w:pPr>
    </w:p>
    <w:p w:rsidR="00A47502" w:rsidRDefault="00A47502" w:rsidP="00A47502">
      <w:pPr>
        <w:numPr>
          <w:ilvl w:val="0"/>
          <w:numId w:val="1"/>
        </w:numPr>
        <w:spacing w:after="200"/>
        <w:rPr>
          <w:b/>
          <w:szCs w:val="24"/>
        </w:rPr>
      </w:pPr>
      <w:r>
        <w:rPr>
          <w:b/>
          <w:szCs w:val="24"/>
        </w:rPr>
        <w:t>Основни популациски показатели</w:t>
      </w:r>
      <w:r w:rsidRPr="00C66203">
        <w:rPr>
          <w:b/>
          <w:szCs w:val="24"/>
        </w:rPr>
        <w:t xml:space="preserve"> </w:t>
      </w:r>
    </w:p>
    <w:p w:rsidR="00A47502" w:rsidRDefault="00A47502" w:rsidP="00A47502">
      <w:pPr>
        <w:rPr>
          <w:szCs w:val="24"/>
        </w:rPr>
      </w:pPr>
      <w:r>
        <w:rPr>
          <w:b/>
          <w:szCs w:val="24"/>
        </w:rPr>
        <w:tab/>
      </w:r>
      <w:r w:rsidRPr="00726F95">
        <w:rPr>
          <w:szCs w:val="24"/>
        </w:rPr>
        <w:t xml:space="preserve">Според последниот попис </w:t>
      </w:r>
      <w:r>
        <w:rPr>
          <w:szCs w:val="24"/>
        </w:rPr>
        <w:t xml:space="preserve">на населението, домаќинствата и становите </w:t>
      </w:r>
      <w:r w:rsidRPr="00726F95">
        <w:rPr>
          <w:szCs w:val="24"/>
        </w:rPr>
        <w:t>од 2002 година</w:t>
      </w:r>
      <w:r>
        <w:rPr>
          <w:szCs w:val="24"/>
        </w:rPr>
        <w:t>,</w:t>
      </w:r>
      <w:r w:rsidRPr="00726F95">
        <w:rPr>
          <w:szCs w:val="24"/>
        </w:rPr>
        <w:t xml:space="preserve"> Општина Дојран имала </w:t>
      </w:r>
      <w:r>
        <w:rPr>
          <w:szCs w:val="24"/>
        </w:rPr>
        <w:t>3</w:t>
      </w:r>
      <w:r>
        <w:rPr>
          <w:szCs w:val="24"/>
          <w:lang w:val="en-US"/>
        </w:rPr>
        <w:t>426</w:t>
      </w:r>
      <w:r w:rsidRPr="00726F95">
        <w:rPr>
          <w:szCs w:val="24"/>
        </w:rPr>
        <w:t xml:space="preserve">  жители, </w:t>
      </w:r>
      <w:r>
        <w:rPr>
          <w:szCs w:val="24"/>
        </w:rPr>
        <w:t xml:space="preserve"> 1021 домаќинство и 2116 станови, со просечен број од 3,36 члена по домаќинство. Бројот на население во </w:t>
      </w:r>
      <w:r w:rsidRPr="00726F95">
        <w:rPr>
          <w:szCs w:val="24"/>
        </w:rPr>
        <w:t>2010</w:t>
      </w:r>
      <w:r>
        <w:rPr>
          <w:szCs w:val="24"/>
        </w:rPr>
        <w:t xml:space="preserve"> година, во споредба со пописот од 2002 година,  се намалил за 88 лица (или за 2,5%) и  изнесувал 3338 жители. Од двата податоци за населението, се гледа, дека Општина Дојран во вкупното население на Р.Македонија има незначително учество од само 0,16%.  </w:t>
      </w:r>
    </w:p>
    <w:p w:rsidR="00A47502" w:rsidRDefault="00A47502" w:rsidP="00A47502">
      <w:pPr>
        <w:rPr>
          <w:szCs w:val="24"/>
        </w:rPr>
      </w:pPr>
      <w:r>
        <w:rPr>
          <w:szCs w:val="24"/>
        </w:rPr>
        <w:tab/>
        <w:t xml:space="preserve">Според етничка структура во општината доминираат Македонците со 77,1% (2641 лица), потоа следат Турците со 11,7% (402 лица), Србите 8,1 % (277 лица), Ромите 1,7% (59 лица) и т.н.  Во Општина Дојран има 80 неписмени лица или 2,3%, потоа 715 лица се со некомплетно основно образование или 20,8%, па 907 лица се со основно образование (26,5%), со средно 928 (27,1%) и со вишо и високо образование 146 лица или 4,2% од вкупното население.  </w:t>
      </w:r>
    </w:p>
    <w:p w:rsidR="00A47502" w:rsidRDefault="00A47502" w:rsidP="00A47502">
      <w:pPr>
        <w:rPr>
          <w:szCs w:val="24"/>
        </w:rPr>
      </w:pPr>
      <w:r>
        <w:rPr>
          <w:szCs w:val="24"/>
        </w:rPr>
        <w:tab/>
        <w:t xml:space="preserve">Според процена, во Општина Дојран, од вкупното население од 3338 жители </w:t>
      </w:r>
    </w:p>
    <w:p w:rsidR="00A47502" w:rsidRDefault="00A47502" w:rsidP="00A47502">
      <w:pPr>
        <w:rPr>
          <w:szCs w:val="24"/>
          <w:lang w:eastAsia="mk-MK"/>
        </w:rPr>
      </w:pPr>
      <w:r>
        <w:rPr>
          <w:szCs w:val="24"/>
        </w:rPr>
        <w:lastRenderedPageBreak/>
        <w:t>(во 2010 година), доминирала средната старосна група (од 20 до 64 години) со 2128 лица или 63,7% ,  втора била младата старосна група (</w:t>
      </w:r>
      <w:r>
        <w:rPr>
          <w:szCs w:val="24"/>
          <w:lang w:eastAsia="mk-MK"/>
        </w:rPr>
        <w:t xml:space="preserve">0-19 год.) </w:t>
      </w:r>
      <w:r>
        <w:rPr>
          <w:szCs w:val="24"/>
        </w:rPr>
        <w:t>со 748 лица или 22,4% и</w:t>
      </w:r>
      <w:r>
        <w:rPr>
          <w:szCs w:val="24"/>
          <w:lang w:eastAsia="mk-MK"/>
        </w:rPr>
        <w:t xml:space="preserve"> третата возрасна група (од 65 години на патаму) со 462 лица (13,8%). </w:t>
      </w:r>
    </w:p>
    <w:p w:rsidR="00A47502" w:rsidRDefault="00A47502" w:rsidP="00A47502">
      <w:pPr>
        <w:rPr>
          <w:szCs w:val="24"/>
        </w:rPr>
      </w:pPr>
      <w:r w:rsidRPr="00726F95">
        <w:rPr>
          <w:szCs w:val="24"/>
        </w:rPr>
        <w:t xml:space="preserve"> </w:t>
      </w:r>
      <w:r>
        <w:rPr>
          <w:szCs w:val="24"/>
        </w:rPr>
        <w:tab/>
        <w:t xml:space="preserve">Според пописот од 2002 година, Општина Дојран имала 2765 лица (80,7%)  на возраст од 15 и повеќе години, од кои 1434 лица биле економски активни (51,8%), и 1331 лице економски неактивни. Од вкупниот број економски активни 1008 биле  вработени (70,3%) а  426 невработени лица (29,7%).   </w:t>
      </w:r>
    </w:p>
    <w:p w:rsidR="00A47502" w:rsidRDefault="00A47502" w:rsidP="00A47502">
      <w:pPr>
        <w:rPr>
          <w:szCs w:val="24"/>
        </w:rPr>
      </w:pPr>
      <w:r>
        <w:rPr>
          <w:szCs w:val="24"/>
        </w:rPr>
        <w:tab/>
        <w:t xml:space="preserve">Во прегледот подолу следат споредбени популациски податоци за Општина Дојран (како најмалубројна општина) со осум избрани и погоренаведени општини. </w:t>
      </w:r>
    </w:p>
    <w:p w:rsidR="00A47502" w:rsidRDefault="00A47502" w:rsidP="00A47502">
      <w:pPr>
        <w:rPr>
          <w:sz w:val="16"/>
          <w:szCs w:val="24"/>
        </w:rPr>
      </w:pPr>
    </w:p>
    <w:p w:rsidR="00A47502" w:rsidRPr="001E4475" w:rsidRDefault="00A47502" w:rsidP="00A47502">
      <w:pPr>
        <w:rPr>
          <w:sz w:val="16"/>
          <w:szCs w:val="24"/>
        </w:rPr>
      </w:pPr>
    </w:p>
    <w:p w:rsidR="00A47502" w:rsidRDefault="00A47502" w:rsidP="00A47502">
      <w:pPr>
        <w:rPr>
          <w:szCs w:val="24"/>
        </w:rPr>
      </w:pPr>
      <w:r>
        <w:rPr>
          <w:szCs w:val="24"/>
        </w:rPr>
        <w:t xml:space="preserve">    Табела 1. – Број на жители во Општина Дојран и останатите избрани општини</w:t>
      </w:r>
    </w:p>
    <w:p w:rsidR="00A47502" w:rsidRPr="00DE7A2A" w:rsidRDefault="00A47502" w:rsidP="00A47502">
      <w:pPr>
        <w:jc w:val="right"/>
        <w:rPr>
          <w:i/>
          <w:szCs w:val="24"/>
        </w:rPr>
      </w:pPr>
      <w:r>
        <w:rPr>
          <w:szCs w:val="24"/>
        </w:rPr>
        <w:t xml:space="preserve"> </w:t>
      </w:r>
      <w:r w:rsidRPr="00DE7A2A">
        <w:rPr>
          <w:i/>
          <w:sz w:val="20"/>
          <w:szCs w:val="24"/>
        </w:rPr>
        <w:t xml:space="preserve">(состојба 30.06.2010 година) </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3"/>
        <w:gridCol w:w="1361"/>
        <w:gridCol w:w="1403"/>
        <w:gridCol w:w="1248"/>
        <w:gridCol w:w="1271"/>
      </w:tblGrid>
      <w:tr w:rsidR="00A47502" w:rsidRPr="00C66203" w:rsidTr="00A47502">
        <w:trPr>
          <w:trHeight w:val="706"/>
        </w:trPr>
        <w:tc>
          <w:tcPr>
            <w:tcW w:w="2700" w:type="dxa"/>
            <w:shd w:val="clear" w:color="auto" w:fill="F2F2F2"/>
            <w:vAlign w:val="center"/>
          </w:tcPr>
          <w:p w:rsidR="00A47502" w:rsidRPr="00432E90" w:rsidRDefault="00A47502" w:rsidP="00A47502">
            <w:pPr>
              <w:jc w:val="center"/>
              <w:rPr>
                <w:b/>
                <w:szCs w:val="24"/>
              </w:rPr>
            </w:pPr>
            <w:r w:rsidRPr="00432E90">
              <w:rPr>
                <w:b/>
                <w:szCs w:val="24"/>
              </w:rPr>
              <w:t>Општина</w:t>
            </w:r>
          </w:p>
        </w:tc>
        <w:tc>
          <w:tcPr>
            <w:tcW w:w="1620" w:type="dxa"/>
            <w:shd w:val="clear" w:color="auto" w:fill="F2F2F2"/>
            <w:vAlign w:val="center"/>
          </w:tcPr>
          <w:p w:rsidR="00A47502" w:rsidRPr="00432E90" w:rsidRDefault="00A47502" w:rsidP="00A47502">
            <w:pPr>
              <w:jc w:val="center"/>
              <w:rPr>
                <w:b/>
                <w:szCs w:val="24"/>
              </w:rPr>
            </w:pPr>
            <w:r w:rsidRPr="00432E90">
              <w:rPr>
                <w:b/>
                <w:szCs w:val="24"/>
              </w:rPr>
              <w:t>Вкупен број на жители</w:t>
            </w:r>
          </w:p>
        </w:tc>
        <w:tc>
          <w:tcPr>
            <w:tcW w:w="1620" w:type="dxa"/>
            <w:shd w:val="clear" w:color="auto" w:fill="F2F2F2"/>
            <w:vAlign w:val="center"/>
          </w:tcPr>
          <w:p w:rsidR="00A47502" w:rsidRPr="00432E90" w:rsidRDefault="00A47502" w:rsidP="00A47502">
            <w:pPr>
              <w:jc w:val="center"/>
              <w:rPr>
                <w:b/>
                <w:szCs w:val="24"/>
              </w:rPr>
            </w:pPr>
            <w:r w:rsidRPr="00432E90">
              <w:rPr>
                <w:b/>
                <w:szCs w:val="24"/>
              </w:rPr>
              <w:t>Во проценти (%)</w:t>
            </w:r>
          </w:p>
        </w:tc>
        <w:tc>
          <w:tcPr>
            <w:tcW w:w="1350" w:type="dxa"/>
            <w:shd w:val="clear" w:color="auto" w:fill="F2F2F2"/>
            <w:vAlign w:val="center"/>
          </w:tcPr>
          <w:p w:rsidR="00A47502" w:rsidRPr="00432E90" w:rsidRDefault="00A47502" w:rsidP="00A47502">
            <w:pPr>
              <w:jc w:val="center"/>
              <w:rPr>
                <w:b/>
                <w:szCs w:val="24"/>
              </w:rPr>
            </w:pPr>
            <w:r w:rsidRPr="00432E90">
              <w:rPr>
                <w:b/>
                <w:szCs w:val="24"/>
              </w:rPr>
              <w:t>Мажи</w:t>
            </w:r>
          </w:p>
        </w:tc>
        <w:tc>
          <w:tcPr>
            <w:tcW w:w="1404" w:type="dxa"/>
            <w:shd w:val="clear" w:color="auto" w:fill="F2F2F2"/>
            <w:vAlign w:val="center"/>
          </w:tcPr>
          <w:p w:rsidR="00A47502" w:rsidRPr="00432E90" w:rsidRDefault="00A47502" w:rsidP="00A47502">
            <w:pPr>
              <w:jc w:val="center"/>
              <w:rPr>
                <w:b/>
                <w:szCs w:val="24"/>
              </w:rPr>
            </w:pPr>
            <w:r w:rsidRPr="00432E90">
              <w:rPr>
                <w:b/>
                <w:szCs w:val="24"/>
              </w:rPr>
              <w:t>Жени</w:t>
            </w:r>
          </w:p>
        </w:tc>
      </w:tr>
      <w:tr w:rsidR="00A47502" w:rsidRPr="00C66203" w:rsidTr="00A47502">
        <w:tc>
          <w:tcPr>
            <w:tcW w:w="2700" w:type="dxa"/>
          </w:tcPr>
          <w:p w:rsidR="00A47502" w:rsidRPr="00C66203" w:rsidRDefault="00A47502" w:rsidP="00A47502">
            <w:pPr>
              <w:rPr>
                <w:szCs w:val="24"/>
              </w:rPr>
            </w:pPr>
            <w:r w:rsidRPr="00C66203">
              <w:rPr>
                <w:szCs w:val="24"/>
              </w:rPr>
              <w:t>Охрид</w:t>
            </w:r>
          </w:p>
        </w:tc>
        <w:tc>
          <w:tcPr>
            <w:tcW w:w="1620" w:type="dxa"/>
            <w:vAlign w:val="center"/>
          </w:tcPr>
          <w:p w:rsidR="00A47502" w:rsidRPr="00C66203" w:rsidRDefault="00A47502" w:rsidP="00A47502">
            <w:pPr>
              <w:jc w:val="center"/>
              <w:rPr>
                <w:szCs w:val="24"/>
              </w:rPr>
            </w:pPr>
            <w:r w:rsidRPr="00C66203">
              <w:rPr>
                <w:szCs w:val="24"/>
                <w:lang w:eastAsia="mk-MK"/>
              </w:rPr>
              <w:t>54</w:t>
            </w:r>
            <w:r>
              <w:rPr>
                <w:szCs w:val="24"/>
                <w:lang w:eastAsia="mk-MK"/>
              </w:rPr>
              <w:t>.</w:t>
            </w:r>
            <w:r w:rsidRPr="00C66203">
              <w:rPr>
                <w:szCs w:val="24"/>
                <w:lang w:eastAsia="mk-MK"/>
              </w:rPr>
              <w:t>759</w:t>
            </w:r>
          </w:p>
        </w:tc>
        <w:tc>
          <w:tcPr>
            <w:tcW w:w="1620" w:type="dxa"/>
            <w:vAlign w:val="bottom"/>
          </w:tcPr>
          <w:p w:rsidR="00A47502" w:rsidRPr="00C66203" w:rsidRDefault="00A47502" w:rsidP="00A47502">
            <w:pPr>
              <w:jc w:val="center"/>
              <w:rPr>
                <w:color w:val="000000"/>
                <w:szCs w:val="24"/>
              </w:rPr>
            </w:pPr>
            <w:r w:rsidRPr="00C66203">
              <w:rPr>
                <w:color w:val="000000"/>
                <w:szCs w:val="24"/>
              </w:rPr>
              <w:t>2.66</w:t>
            </w:r>
          </w:p>
        </w:tc>
        <w:tc>
          <w:tcPr>
            <w:tcW w:w="1350" w:type="dxa"/>
            <w:vAlign w:val="center"/>
          </w:tcPr>
          <w:p w:rsidR="00A47502" w:rsidRPr="00C66203" w:rsidRDefault="00A47502" w:rsidP="00A47502">
            <w:pPr>
              <w:jc w:val="center"/>
              <w:rPr>
                <w:color w:val="000000"/>
                <w:szCs w:val="24"/>
              </w:rPr>
            </w:pPr>
            <w:r w:rsidRPr="00C66203">
              <w:rPr>
                <w:szCs w:val="24"/>
                <w:lang w:eastAsia="mk-MK"/>
              </w:rPr>
              <w:t>26</w:t>
            </w:r>
            <w:r>
              <w:rPr>
                <w:szCs w:val="24"/>
                <w:lang w:eastAsia="mk-MK"/>
              </w:rPr>
              <w:t>.</w:t>
            </w:r>
            <w:r w:rsidRPr="00C66203">
              <w:rPr>
                <w:szCs w:val="24"/>
                <w:lang w:eastAsia="mk-MK"/>
              </w:rPr>
              <w:t>962</w:t>
            </w:r>
          </w:p>
        </w:tc>
        <w:tc>
          <w:tcPr>
            <w:tcW w:w="1404" w:type="dxa"/>
            <w:vAlign w:val="center"/>
          </w:tcPr>
          <w:p w:rsidR="00A47502" w:rsidRPr="00C66203" w:rsidRDefault="00A47502" w:rsidP="00A47502">
            <w:pPr>
              <w:jc w:val="center"/>
              <w:rPr>
                <w:color w:val="000000"/>
                <w:szCs w:val="24"/>
              </w:rPr>
            </w:pPr>
            <w:r w:rsidRPr="00C66203">
              <w:rPr>
                <w:szCs w:val="24"/>
                <w:lang w:eastAsia="mk-MK"/>
              </w:rPr>
              <w:t>27</w:t>
            </w:r>
            <w:r>
              <w:rPr>
                <w:szCs w:val="24"/>
                <w:lang w:eastAsia="mk-MK"/>
              </w:rPr>
              <w:t>.</w:t>
            </w:r>
            <w:r w:rsidRPr="00C66203">
              <w:rPr>
                <w:szCs w:val="24"/>
                <w:lang w:eastAsia="mk-MK"/>
              </w:rPr>
              <w:t>797</w:t>
            </w:r>
          </w:p>
        </w:tc>
      </w:tr>
      <w:tr w:rsidR="00A47502" w:rsidRPr="00C66203" w:rsidTr="00A47502">
        <w:trPr>
          <w:trHeight w:val="319"/>
        </w:trPr>
        <w:tc>
          <w:tcPr>
            <w:tcW w:w="2700" w:type="dxa"/>
          </w:tcPr>
          <w:p w:rsidR="00A47502" w:rsidRPr="00C66203" w:rsidRDefault="00A47502" w:rsidP="00A47502">
            <w:pPr>
              <w:rPr>
                <w:szCs w:val="24"/>
              </w:rPr>
            </w:pPr>
            <w:r w:rsidRPr="00C66203">
              <w:rPr>
                <w:szCs w:val="24"/>
              </w:rPr>
              <w:t>Скопје</w:t>
            </w:r>
          </w:p>
        </w:tc>
        <w:tc>
          <w:tcPr>
            <w:tcW w:w="1620" w:type="dxa"/>
            <w:vAlign w:val="center"/>
          </w:tcPr>
          <w:p w:rsidR="00A47502" w:rsidRPr="00C66203" w:rsidRDefault="00A47502" w:rsidP="00A47502">
            <w:pPr>
              <w:jc w:val="center"/>
              <w:rPr>
                <w:color w:val="000000"/>
                <w:szCs w:val="24"/>
              </w:rPr>
            </w:pPr>
            <w:r w:rsidRPr="00C66203">
              <w:rPr>
                <w:color w:val="000000"/>
                <w:szCs w:val="24"/>
              </w:rPr>
              <w:t>531</w:t>
            </w:r>
            <w:r>
              <w:rPr>
                <w:color w:val="000000"/>
                <w:szCs w:val="24"/>
              </w:rPr>
              <w:t>.</w:t>
            </w:r>
            <w:r w:rsidRPr="00C66203">
              <w:rPr>
                <w:color w:val="000000"/>
                <w:szCs w:val="24"/>
              </w:rPr>
              <w:t>444</w:t>
            </w:r>
          </w:p>
        </w:tc>
        <w:tc>
          <w:tcPr>
            <w:tcW w:w="1620" w:type="dxa"/>
            <w:vAlign w:val="bottom"/>
          </w:tcPr>
          <w:p w:rsidR="00A47502" w:rsidRPr="00C66203" w:rsidRDefault="00A47502" w:rsidP="00A47502">
            <w:pPr>
              <w:jc w:val="center"/>
              <w:rPr>
                <w:color w:val="000000"/>
                <w:szCs w:val="24"/>
              </w:rPr>
            </w:pPr>
            <w:r w:rsidRPr="00C66203">
              <w:rPr>
                <w:color w:val="000000"/>
                <w:szCs w:val="24"/>
              </w:rPr>
              <w:t>25.86</w:t>
            </w:r>
          </w:p>
        </w:tc>
        <w:tc>
          <w:tcPr>
            <w:tcW w:w="1350" w:type="dxa"/>
            <w:vAlign w:val="bottom"/>
          </w:tcPr>
          <w:p w:rsidR="00A47502" w:rsidRPr="00C66203" w:rsidRDefault="00A47502" w:rsidP="00A47502">
            <w:pPr>
              <w:jc w:val="center"/>
              <w:rPr>
                <w:color w:val="000000"/>
                <w:szCs w:val="24"/>
              </w:rPr>
            </w:pPr>
            <w:r w:rsidRPr="00C66203">
              <w:rPr>
                <w:color w:val="000000"/>
                <w:szCs w:val="24"/>
              </w:rPr>
              <w:t>260</w:t>
            </w:r>
            <w:r>
              <w:rPr>
                <w:color w:val="000000"/>
                <w:szCs w:val="24"/>
              </w:rPr>
              <w:t>.</w:t>
            </w:r>
            <w:r w:rsidRPr="00C66203">
              <w:rPr>
                <w:color w:val="000000"/>
                <w:szCs w:val="24"/>
              </w:rPr>
              <w:t>462</w:t>
            </w:r>
          </w:p>
        </w:tc>
        <w:tc>
          <w:tcPr>
            <w:tcW w:w="1404" w:type="dxa"/>
            <w:vAlign w:val="center"/>
          </w:tcPr>
          <w:p w:rsidR="00A47502" w:rsidRPr="00C66203" w:rsidRDefault="00A47502" w:rsidP="00A47502">
            <w:pPr>
              <w:jc w:val="center"/>
              <w:rPr>
                <w:color w:val="000000"/>
                <w:szCs w:val="24"/>
              </w:rPr>
            </w:pPr>
            <w:r w:rsidRPr="00C66203">
              <w:rPr>
                <w:color w:val="000000"/>
                <w:szCs w:val="24"/>
              </w:rPr>
              <w:t>270</w:t>
            </w:r>
            <w:r>
              <w:rPr>
                <w:color w:val="000000"/>
                <w:szCs w:val="24"/>
              </w:rPr>
              <w:t>.</w:t>
            </w:r>
            <w:r w:rsidRPr="00C66203">
              <w:rPr>
                <w:color w:val="000000"/>
                <w:szCs w:val="24"/>
              </w:rPr>
              <w:t>982</w:t>
            </w:r>
          </w:p>
        </w:tc>
      </w:tr>
      <w:tr w:rsidR="00A47502" w:rsidRPr="00C66203" w:rsidTr="00A47502">
        <w:trPr>
          <w:trHeight w:val="283"/>
        </w:trPr>
        <w:tc>
          <w:tcPr>
            <w:tcW w:w="2700" w:type="dxa"/>
            <w:vAlign w:val="center"/>
          </w:tcPr>
          <w:p w:rsidR="00A47502" w:rsidRPr="00C66203" w:rsidRDefault="00A47502" w:rsidP="00A47502">
            <w:pPr>
              <w:rPr>
                <w:szCs w:val="24"/>
              </w:rPr>
            </w:pPr>
            <w:r w:rsidRPr="00C66203">
              <w:rPr>
                <w:szCs w:val="24"/>
              </w:rPr>
              <w:t>Ресен</w:t>
            </w:r>
          </w:p>
        </w:tc>
        <w:tc>
          <w:tcPr>
            <w:tcW w:w="1620" w:type="dxa"/>
            <w:vAlign w:val="center"/>
          </w:tcPr>
          <w:p w:rsidR="00A47502" w:rsidRPr="00C66203" w:rsidRDefault="00A47502" w:rsidP="00A47502">
            <w:pPr>
              <w:jc w:val="center"/>
              <w:rPr>
                <w:color w:val="000000"/>
                <w:szCs w:val="24"/>
              </w:rPr>
            </w:pPr>
            <w:r w:rsidRPr="00C66203">
              <w:rPr>
                <w:szCs w:val="24"/>
                <w:lang w:eastAsia="mk-MK"/>
              </w:rPr>
              <w:t>16</w:t>
            </w:r>
            <w:r>
              <w:rPr>
                <w:szCs w:val="24"/>
                <w:lang w:eastAsia="mk-MK"/>
              </w:rPr>
              <w:t>.</w:t>
            </w:r>
            <w:r w:rsidRPr="00C66203">
              <w:rPr>
                <w:szCs w:val="24"/>
                <w:lang w:eastAsia="mk-MK"/>
              </w:rPr>
              <w:t>215</w:t>
            </w:r>
          </w:p>
        </w:tc>
        <w:tc>
          <w:tcPr>
            <w:tcW w:w="1620" w:type="dxa"/>
            <w:vAlign w:val="center"/>
          </w:tcPr>
          <w:p w:rsidR="00A47502" w:rsidRPr="00C66203" w:rsidRDefault="00A47502" w:rsidP="00A47502">
            <w:pPr>
              <w:jc w:val="center"/>
              <w:rPr>
                <w:color w:val="000000"/>
                <w:szCs w:val="24"/>
              </w:rPr>
            </w:pPr>
            <w:r w:rsidRPr="00C66203">
              <w:rPr>
                <w:color w:val="000000"/>
                <w:szCs w:val="24"/>
              </w:rPr>
              <w:t>0.78</w:t>
            </w:r>
          </w:p>
        </w:tc>
        <w:tc>
          <w:tcPr>
            <w:tcW w:w="1350" w:type="dxa"/>
            <w:vAlign w:val="center"/>
          </w:tcPr>
          <w:p w:rsidR="00A47502" w:rsidRPr="00C66203" w:rsidRDefault="00A47502" w:rsidP="00A47502">
            <w:pPr>
              <w:jc w:val="center"/>
              <w:rPr>
                <w:szCs w:val="24"/>
              </w:rPr>
            </w:pPr>
            <w:r w:rsidRPr="00C66203">
              <w:rPr>
                <w:szCs w:val="24"/>
                <w:lang w:eastAsia="mk-MK"/>
              </w:rPr>
              <w:t>8</w:t>
            </w:r>
            <w:r>
              <w:rPr>
                <w:szCs w:val="24"/>
                <w:lang w:eastAsia="mk-MK"/>
              </w:rPr>
              <w:t>.</w:t>
            </w:r>
            <w:r w:rsidRPr="00C66203">
              <w:rPr>
                <w:szCs w:val="24"/>
                <w:lang w:eastAsia="mk-MK"/>
              </w:rPr>
              <w:t>136</w:t>
            </w:r>
          </w:p>
        </w:tc>
        <w:tc>
          <w:tcPr>
            <w:tcW w:w="1404" w:type="dxa"/>
            <w:vAlign w:val="center"/>
          </w:tcPr>
          <w:p w:rsidR="00A47502" w:rsidRPr="00C66203" w:rsidRDefault="00A47502" w:rsidP="00A47502">
            <w:pPr>
              <w:jc w:val="center"/>
              <w:rPr>
                <w:szCs w:val="24"/>
              </w:rPr>
            </w:pPr>
            <w:r w:rsidRPr="00C66203">
              <w:rPr>
                <w:szCs w:val="24"/>
                <w:lang w:eastAsia="mk-MK"/>
              </w:rPr>
              <w:t>8</w:t>
            </w:r>
            <w:r>
              <w:rPr>
                <w:szCs w:val="24"/>
                <w:lang w:eastAsia="mk-MK"/>
              </w:rPr>
              <w:t>.</w:t>
            </w:r>
            <w:r w:rsidRPr="00C66203">
              <w:rPr>
                <w:szCs w:val="24"/>
                <w:lang w:eastAsia="mk-MK"/>
              </w:rPr>
              <w:t>079</w:t>
            </w:r>
          </w:p>
        </w:tc>
      </w:tr>
      <w:tr w:rsidR="00A47502" w:rsidRPr="00C66203" w:rsidTr="00A47502">
        <w:tc>
          <w:tcPr>
            <w:tcW w:w="2700" w:type="dxa"/>
            <w:shd w:val="clear" w:color="auto" w:fill="FFFF00"/>
          </w:tcPr>
          <w:p w:rsidR="00A47502" w:rsidRPr="00C66203" w:rsidRDefault="00A47502" w:rsidP="00A47502">
            <w:pPr>
              <w:rPr>
                <w:szCs w:val="24"/>
              </w:rPr>
            </w:pPr>
            <w:r w:rsidRPr="00C66203">
              <w:rPr>
                <w:szCs w:val="24"/>
              </w:rPr>
              <w:t>Дојран</w:t>
            </w:r>
          </w:p>
        </w:tc>
        <w:tc>
          <w:tcPr>
            <w:tcW w:w="1620" w:type="dxa"/>
            <w:shd w:val="clear" w:color="auto" w:fill="FFFF00"/>
            <w:vAlign w:val="center"/>
          </w:tcPr>
          <w:p w:rsidR="00A47502" w:rsidRPr="00C66203" w:rsidRDefault="00A47502" w:rsidP="00A47502">
            <w:pPr>
              <w:jc w:val="center"/>
              <w:rPr>
                <w:szCs w:val="24"/>
              </w:rPr>
            </w:pPr>
            <w:r w:rsidRPr="00C66203">
              <w:rPr>
                <w:szCs w:val="24"/>
                <w:lang w:eastAsia="mk-MK"/>
              </w:rPr>
              <w:t>3 338</w:t>
            </w:r>
          </w:p>
        </w:tc>
        <w:tc>
          <w:tcPr>
            <w:tcW w:w="1620" w:type="dxa"/>
            <w:shd w:val="clear" w:color="auto" w:fill="FFFF00"/>
            <w:vAlign w:val="bottom"/>
          </w:tcPr>
          <w:p w:rsidR="00A47502" w:rsidRPr="00C66203" w:rsidRDefault="00A47502" w:rsidP="00A47502">
            <w:pPr>
              <w:jc w:val="center"/>
              <w:rPr>
                <w:color w:val="000000"/>
                <w:szCs w:val="24"/>
              </w:rPr>
            </w:pPr>
            <w:r w:rsidRPr="00C66203">
              <w:rPr>
                <w:color w:val="000000"/>
                <w:szCs w:val="24"/>
              </w:rPr>
              <w:t>0.16</w:t>
            </w:r>
          </w:p>
        </w:tc>
        <w:tc>
          <w:tcPr>
            <w:tcW w:w="1350" w:type="dxa"/>
            <w:shd w:val="clear" w:color="auto" w:fill="FFFF00"/>
            <w:vAlign w:val="center"/>
          </w:tcPr>
          <w:p w:rsidR="00A47502" w:rsidRPr="00C66203" w:rsidRDefault="00A47502" w:rsidP="00A47502">
            <w:pPr>
              <w:jc w:val="center"/>
              <w:rPr>
                <w:szCs w:val="24"/>
              </w:rPr>
            </w:pPr>
            <w:r w:rsidRPr="00C66203">
              <w:rPr>
                <w:szCs w:val="24"/>
                <w:lang w:eastAsia="mk-MK"/>
              </w:rPr>
              <w:t>1</w:t>
            </w:r>
            <w:r>
              <w:rPr>
                <w:szCs w:val="24"/>
                <w:lang w:eastAsia="mk-MK"/>
              </w:rPr>
              <w:t>.</w:t>
            </w:r>
            <w:r w:rsidRPr="00C66203">
              <w:rPr>
                <w:szCs w:val="24"/>
                <w:lang w:eastAsia="mk-MK"/>
              </w:rPr>
              <w:t>665</w:t>
            </w:r>
          </w:p>
        </w:tc>
        <w:tc>
          <w:tcPr>
            <w:tcW w:w="1404" w:type="dxa"/>
            <w:shd w:val="clear" w:color="auto" w:fill="FFFF00"/>
            <w:vAlign w:val="center"/>
          </w:tcPr>
          <w:p w:rsidR="00A47502" w:rsidRPr="00C66203" w:rsidRDefault="00A47502" w:rsidP="00A47502">
            <w:pPr>
              <w:jc w:val="center"/>
              <w:rPr>
                <w:szCs w:val="24"/>
              </w:rPr>
            </w:pPr>
            <w:r w:rsidRPr="00C66203">
              <w:rPr>
                <w:szCs w:val="24"/>
                <w:lang w:eastAsia="mk-MK"/>
              </w:rPr>
              <w:t>1</w:t>
            </w:r>
            <w:r>
              <w:rPr>
                <w:szCs w:val="24"/>
                <w:lang w:eastAsia="mk-MK"/>
              </w:rPr>
              <w:t>.</w:t>
            </w:r>
            <w:r w:rsidRPr="00C66203">
              <w:rPr>
                <w:szCs w:val="24"/>
                <w:lang w:eastAsia="mk-MK"/>
              </w:rPr>
              <w:t>673</w:t>
            </w:r>
          </w:p>
        </w:tc>
      </w:tr>
      <w:tr w:rsidR="00A47502" w:rsidRPr="00C66203" w:rsidTr="00A47502">
        <w:tc>
          <w:tcPr>
            <w:tcW w:w="2700" w:type="dxa"/>
          </w:tcPr>
          <w:p w:rsidR="00A47502" w:rsidRPr="00C66203" w:rsidRDefault="00A47502" w:rsidP="00A47502">
            <w:pPr>
              <w:rPr>
                <w:szCs w:val="24"/>
              </w:rPr>
            </w:pPr>
            <w:r w:rsidRPr="00C66203">
              <w:rPr>
                <w:szCs w:val="24"/>
              </w:rPr>
              <w:t>Струга</w:t>
            </w:r>
          </w:p>
        </w:tc>
        <w:tc>
          <w:tcPr>
            <w:tcW w:w="1620" w:type="dxa"/>
            <w:vAlign w:val="center"/>
          </w:tcPr>
          <w:p w:rsidR="00A47502" w:rsidRPr="00C66203" w:rsidRDefault="00A47502" w:rsidP="00A47502">
            <w:pPr>
              <w:jc w:val="center"/>
              <w:rPr>
                <w:szCs w:val="24"/>
              </w:rPr>
            </w:pPr>
            <w:r w:rsidRPr="00C66203">
              <w:rPr>
                <w:szCs w:val="24"/>
                <w:lang w:eastAsia="mk-MK"/>
              </w:rPr>
              <w:t>64</w:t>
            </w:r>
            <w:r>
              <w:rPr>
                <w:szCs w:val="24"/>
                <w:lang w:eastAsia="mk-MK"/>
              </w:rPr>
              <w:t>.</w:t>
            </w:r>
            <w:r w:rsidRPr="00C66203">
              <w:rPr>
                <w:szCs w:val="24"/>
                <w:lang w:eastAsia="mk-MK"/>
              </w:rPr>
              <w:t>453</w:t>
            </w:r>
          </w:p>
        </w:tc>
        <w:tc>
          <w:tcPr>
            <w:tcW w:w="1620" w:type="dxa"/>
            <w:vAlign w:val="bottom"/>
          </w:tcPr>
          <w:p w:rsidR="00A47502" w:rsidRPr="00C66203" w:rsidRDefault="00A47502" w:rsidP="00A47502">
            <w:pPr>
              <w:jc w:val="center"/>
              <w:rPr>
                <w:color w:val="000000"/>
                <w:szCs w:val="24"/>
              </w:rPr>
            </w:pPr>
            <w:r w:rsidRPr="00C66203">
              <w:rPr>
                <w:color w:val="000000"/>
                <w:szCs w:val="24"/>
              </w:rPr>
              <w:t>3.14</w:t>
            </w:r>
          </w:p>
        </w:tc>
        <w:tc>
          <w:tcPr>
            <w:tcW w:w="1350" w:type="dxa"/>
            <w:vAlign w:val="center"/>
          </w:tcPr>
          <w:p w:rsidR="00A47502" w:rsidRPr="00C66203" w:rsidRDefault="00A47502" w:rsidP="00A47502">
            <w:pPr>
              <w:jc w:val="center"/>
              <w:rPr>
                <w:color w:val="000000"/>
                <w:szCs w:val="24"/>
              </w:rPr>
            </w:pPr>
            <w:r w:rsidRPr="00C66203">
              <w:rPr>
                <w:szCs w:val="24"/>
                <w:lang w:eastAsia="mk-MK"/>
              </w:rPr>
              <w:t>32</w:t>
            </w:r>
            <w:r>
              <w:rPr>
                <w:szCs w:val="24"/>
                <w:lang w:eastAsia="mk-MK"/>
              </w:rPr>
              <w:t>.</w:t>
            </w:r>
            <w:r w:rsidRPr="00C66203">
              <w:rPr>
                <w:szCs w:val="24"/>
                <w:lang w:eastAsia="mk-MK"/>
              </w:rPr>
              <w:t>076</w:t>
            </w:r>
          </w:p>
        </w:tc>
        <w:tc>
          <w:tcPr>
            <w:tcW w:w="1404" w:type="dxa"/>
            <w:vAlign w:val="center"/>
          </w:tcPr>
          <w:p w:rsidR="00A47502" w:rsidRPr="00C66203" w:rsidRDefault="00A47502" w:rsidP="00A47502">
            <w:pPr>
              <w:jc w:val="center"/>
              <w:rPr>
                <w:color w:val="000000"/>
                <w:szCs w:val="24"/>
              </w:rPr>
            </w:pPr>
            <w:r w:rsidRPr="00C66203">
              <w:rPr>
                <w:szCs w:val="24"/>
                <w:lang w:eastAsia="mk-MK"/>
              </w:rPr>
              <w:t>32</w:t>
            </w:r>
            <w:r>
              <w:rPr>
                <w:szCs w:val="24"/>
                <w:lang w:eastAsia="mk-MK"/>
              </w:rPr>
              <w:t>.</w:t>
            </w:r>
            <w:r w:rsidRPr="00C66203">
              <w:rPr>
                <w:szCs w:val="24"/>
                <w:lang w:eastAsia="mk-MK"/>
              </w:rPr>
              <w:t>377</w:t>
            </w:r>
          </w:p>
        </w:tc>
      </w:tr>
      <w:tr w:rsidR="00A47502" w:rsidRPr="00C66203" w:rsidTr="00A47502">
        <w:tc>
          <w:tcPr>
            <w:tcW w:w="2700" w:type="dxa"/>
          </w:tcPr>
          <w:p w:rsidR="00A47502" w:rsidRPr="00C66203" w:rsidRDefault="00A47502" w:rsidP="00A47502">
            <w:pPr>
              <w:rPr>
                <w:szCs w:val="24"/>
              </w:rPr>
            </w:pPr>
            <w:r w:rsidRPr="00C66203">
              <w:rPr>
                <w:szCs w:val="24"/>
              </w:rPr>
              <w:t>Тетово</w:t>
            </w:r>
          </w:p>
        </w:tc>
        <w:tc>
          <w:tcPr>
            <w:tcW w:w="1620" w:type="dxa"/>
            <w:vAlign w:val="center"/>
          </w:tcPr>
          <w:p w:rsidR="00A47502" w:rsidRPr="00C66203" w:rsidRDefault="00A47502" w:rsidP="00A47502">
            <w:pPr>
              <w:jc w:val="center"/>
              <w:rPr>
                <w:szCs w:val="24"/>
              </w:rPr>
            </w:pPr>
            <w:r w:rsidRPr="00C66203">
              <w:rPr>
                <w:szCs w:val="24"/>
                <w:lang w:eastAsia="mk-MK"/>
              </w:rPr>
              <w:t>89</w:t>
            </w:r>
            <w:r>
              <w:rPr>
                <w:szCs w:val="24"/>
                <w:lang w:eastAsia="mk-MK"/>
              </w:rPr>
              <w:t>.</w:t>
            </w:r>
            <w:r w:rsidRPr="00C66203">
              <w:rPr>
                <w:szCs w:val="24"/>
                <w:lang w:eastAsia="mk-MK"/>
              </w:rPr>
              <w:t>730</w:t>
            </w:r>
          </w:p>
        </w:tc>
        <w:tc>
          <w:tcPr>
            <w:tcW w:w="1620" w:type="dxa"/>
            <w:vAlign w:val="bottom"/>
          </w:tcPr>
          <w:p w:rsidR="00A47502" w:rsidRPr="00C66203" w:rsidRDefault="00A47502" w:rsidP="00A47502">
            <w:pPr>
              <w:jc w:val="center"/>
              <w:rPr>
                <w:color w:val="000000"/>
                <w:szCs w:val="24"/>
              </w:rPr>
            </w:pPr>
            <w:r w:rsidRPr="00C66203">
              <w:rPr>
                <w:color w:val="000000"/>
                <w:szCs w:val="24"/>
              </w:rPr>
              <w:t>4.37</w:t>
            </w:r>
          </w:p>
        </w:tc>
        <w:tc>
          <w:tcPr>
            <w:tcW w:w="1350" w:type="dxa"/>
            <w:vAlign w:val="center"/>
          </w:tcPr>
          <w:p w:rsidR="00A47502" w:rsidRPr="00C66203" w:rsidRDefault="00A47502" w:rsidP="00A47502">
            <w:pPr>
              <w:jc w:val="center"/>
              <w:rPr>
                <w:szCs w:val="24"/>
              </w:rPr>
            </w:pPr>
            <w:r w:rsidRPr="00C66203">
              <w:rPr>
                <w:szCs w:val="24"/>
                <w:lang w:eastAsia="mk-MK"/>
              </w:rPr>
              <w:t>45</w:t>
            </w:r>
            <w:r>
              <w:rPr>
                <w:szCs w:val="24"/>
                <w:lang w:eastAsia="mk-MK"/>
              </w:rPr>
              <w:t>.</w:t>
            </w:r>
            <w:r w:rsidRPr="00C66203">
              <w:rPr>
                <w:szCs w:val="24"/>
                <w:lang w:eastAsia="mk-MK"/>
              </w:rPr>
              <w:t>069</w:t>
            </w:r>
          </w:p>
        </w:tc>
        <w:tc>
          <w:tcPr>
            <w:tcW w:w="1404" w:type="dxa"/>
            <w:vAlign w:val="center"/>
          </w:tcPr>
          <w:p w:rsidR="00A47502" w:rsidRPr="00C66203" w:rsidRDefault="00A47502" w:rsidP="00A47502">
            <w:pPr>
              <w:jc w:val="center"/>
              <w:rPr>
                <w:szCs w:val="24"/>
              </w:rPr>
            </w:pPr>
            <w:r w:rsidRPr="00C66203">
              <w:rPr>
                <w:szCs w:val="24"/>
                <w:lang w:eastAsia="mk-MK"/>
              </w:rPr>
              <w:t>44</w:t>
            </w:r>
            <w:r>
              <w:rPr>
                <w:szCs w:val="24"/>
                <w:lang w:eastAsia="mk-MK"/>
              </w:rPr>
              <w:t>.</w:t>
            </w:r>
            <w:r w:rsidRPr="00C66203">
              <w:rPr>
                <w:szCs w:val="24"/>
                <w:lang w:eastAsia="mk-MK"/>
              </w:rPr>
              <w:t>661</w:t>
            </w:r>
          </w:p>
        </w:tc>
      </w:tr>
      <w:tr w:rsidR="00A47502" w:rsidRPr="00C66203" w:rsidTr="00A47502">
        <w:tc>
          <w:tcPr>
            <w:tcW w:w="2700" w:type="dxa"/>
          </w:tcPr>
          <w:p w:rsidR="00A47502" w:rsidRPr="00C66203" w:rsidRDefault="00A47502" w:rsidP="00A47502">
            <w:pPr>
              <w:rPr>
                <w:szCs w:val="24"/>
              </w:rPr>
            </w:pPr>
            <w:r w:rsidRPr="00C66203">
              <w:rPr>
                <w:szCs w:val="24"/>
              </w:rPr>
              <w:t>Битола</w:t>
            </w:r>
          </w:p>
        </w:tc>
        <w:tc>
          <w:tcPr>
            <w:tcW w:w="1620" w:type="dxa"/>
            <w:vAlign w:val="center"/>
          </w:tcPr>
          <w:p w:rsidR="00A47502" w:rsidRPr="00C66203" w:rsidRDefault="00A47502" w:rsidP="00A47502">
            <w:pPr>
              <w:jc w:val="center"/>
              <w:rPr>
                <w:szCs w:val="24"/>
              </w:rPr>
            </w:pPr>
            <w:r w:rsidRPr="00C66203">
              <w:rPr>
                <w:szCs w:val="24"/>
                <w:lang w:eastAsia="mk-MK"/>
              </w:rPr>
              <w:t>93</w:t>
            </w:r>
            <w:r>
              <w:rPr>
                <w:szCs w:val="24"/>
                <w:lang w:eastAsia="mk-MK"/>
              </w:rPr>
              <w:t>.</w:t>
            </w:r>
            <w:r w:rsidRPr="00C66203">
              <w:rPr>
                <w:szCs w:val="24"/>
                <w:lang w:eastAsia="mk-MK"/>
              </w:rPr>
              <w:t>585</w:t>
            </w:r>
          </w:p>
        </w:tc>
        <w:tc>
          <w:tcPr>
            <w:tcW w:w="1620" w:type="dxa"/>
            <w:vAlign w:val="bottom"/>
          </w:tcPr>
          <w:p w:rsidR="00A47502" w:rsidRPr="00C66203" w:rsidRDefault="00A47502" w:rsidP="00A47502">
            <w:pPr>
              <w:jc w:val="center"/>
              <w:rPr>
                <w:color w:val="000000"/>
                <w:szCs w:val="24"/>
              </w:rPr>
            </w:pPr>
            <w:r w:rsidRPr="00C66203">
              <w:rPr>
                <w:color w:val="000000"/>
                <w:szCs w:val="24"/>
              </w:rPr>
              <w:t>4.55</w:t>
            </w:r>
          </w:p>
        </w:tc>
        <w:tc>
          <w:tcPr>
            <w:tcW w:w="1350" w:type="dxa"/>
            <w:vAlign w:val="center"/>
          </w:tcPr>
          <w:p w:rsidR="00A47502" w:rsidRPr="00C66203" w:rsidRDefault="00A47502" w:rsidP="00A47502">
            <w:pPr>
              <w:jc w:val="center"/>
              <w:rPr>
                <w:szCs w:val="24"/>
              </w:rPr>
            </w:pPr>
            <w:r w:rsidRPr="00C66203">
              <w:rPr>
                <w:szCs w:val="24"/>
                <w:lang w:eastAsia="mk-MK"/>
              </w:rPr>
              <w:t>46</w:t>
            </w:r>
            <w:r>
              <w:rPr>
                <w:szCs w:val="24"/>
                <w:lang w:eastAsia="mk-MK"/>
              </w:rPr>
              <w:t>.</w:t>
            </w:r>
            <w:r w:rsidRPr="00C66203">
              <w:rPr>
                <w:szCs w:val="24"/>
                <w:lang w:eastAsia="mk-MK"/>
              </w:rPr>
              <w:t>002</w:t>
            </w:r>
          </w:p>
        </w:tc>
        <w:tc>
          <w:tcPr>
            <w:tcW w:w="1404" w:type="dxa"/>
            <w:vAlign w:val="center"/>
          </w:tcPr>
          <w:p w:rsidR="00A47502" w:rsidRPr="00C66203" w:rsidRDefault="00A47502" w:rsidP="00A47502">
            <w:pPr>
              <w:jc w:val="center"/>
              <w:rPr>
                <w:szCs w:val="24"/>
              </w:rPr>
            </w:pPr>
            <w:r w:rsidRPr="00C66203">
              <w:rPr>
                <w:szCs w:val="24"/>
                <w:lang w:eastAsia="mk-MK"/>
              </w:rPr>
              <w:t>47</w:t>
            </w:r>
            <w:r>
              <w:rPr>
                <w:szCs w:val="24"/>
                <w:lang w:eastAsia="mk-MK"/>
              </w:rPr>
              <w:t>.</w:t>
            </w:r>
            <w:r w:rsidRPr="00C66203">
              <w:rPr>
                <w:szCs w:val="24"/>
                <w:lang w:eastAsia="mk-MK"/>
              </w:rPr>
              <w:t>583</w:t>
            </w:r>
          </w:p>
        </w:tc>
      </w:tr>
      <w:tr w:rsidR="00A47502" w:rsidRPr="00C66203" w:rsidTr="00A47502">
        <w:tc>
          <w:tcPr>
            <w:tcW w:w="2700" w:type="dxa"/>
          </w:tcPr>
          <w:p w:rsidR="00A47502" w:rsidRPr="00C66203" w:rsidRDefault="00A47502" w:rsidP="00A47502">
            <w:pPr>
              <w:rPr>
                <w:szCs w:val="24"/>
              </w:rPr>
            </w:pPr>
            <w:r w:rsidRPr="00C66203">
              <w:rPr>
                <w:szCs w:val="24"/>
              </w:rPr>
              <w:t>Крушево</w:t>
            </w:r>
          </w:p>
        </w:tc>
        <w:tc>
          <w:tcPr>
            <w:tcW w:w="1620" w:type="dxa"/>
            <w:vAlign w:val="center"/>
          </w:tcPr>
          <w:p w:rsidR="00A47502" w:rsidRPr="00C66203" w:rsidRDefault="00A47502" w:rsidP="00A47502">
            <w:pPr>
              <w:jc w:val="center"/>
              <w:rPr>
                <w:szCs w:val="24"/>
              </w:rPr>
            </w:pPr>
            <w:r w:rsidRPr="00C66203">
              <w:rPr>
                <w:szCs w:val="24"/>
                <w:lang w:eastAsia="mk-MK"/>
              </w:rPr>
              <w:t>9</w:t>
            </w:r>
            <w:r>
              <w:rPr>
                <w:szCs w:val="24"/>
                <w:lang w:eastAsia="mk-MK"/>
              </w:rPr>
              <w:t>.</w:t>
            </w:r>
            <w:r w:rsidRPr="00C66203">
              <w:rPr>
                <w:szCs w:val="24"/>
                <w:lang w:eastAsia="mk-MK"/>
              </w:rPr>
              <w:t>589</w:t>
            </w:r>
          </w:p>
        </w:tc>
        <w:tc>
          <w:tcPr>
            <w:tcW w:w="1620" w:type="dxa"/>
            <w:vAlign w:val="bottom"/>
          </w:tcPr>
          <w:p w:rsidR="00A47502" w:rsidRPr="00C66203" w:rsidRDefault="00A47502" w:rsidP="00A47502">
            <w:pPr>
              <w:jc w:val="center"/>
              <w:rPr>
                <w:color w:val="000000"/>
                <w:szCs w:val="24"/>
              </w:rPr>
            </w:pPr>
            <w:r w:rsidRPr="00C66203">
              <w:rPr>
                <w:color w:val="000000"/>
                <w:szCs w:val="24"/>
              </w:rPr>
              <w:t>0.47</w:t>
            </w:r>
          </w:p>
        </w:tc>
        <w:tc>
          <w:tcPr>
            <w:tcW w:w="1350" w:type="dxa"/>
          </w:tcPr>
          <w:p w:rsidR="00A47502" w:rsidRPr="00C66203" w:rsidRDefault="00A47502" w:rsidP="00A47502">
            <w:pPr>
              <w:jc w:val="center"/>
              <w:rPr>
                <w:szCs w:val="24"/>
              </w:rPr>
            </w:pPr>
            <w:r w:rsidRPr="00C66203">
              <w:rPr>
                <w:szCs w:val="24"/>
                <w:lang w:eastAsia="mk-MK"/>
              </w:rPr>
              <w:t>4</w:t>
            </w:r>
            <w:r>
              <w:rPr>
                <w:szCs w:val="24"/>
                <w:lang w:eastAsia="mk-MK"/>
              </w:rPr>
              <w:t>.</w:t>
            </w:r>
            <w:r w:rsidRPr="00C66203">
              <w:rPr>
                <w:szCs w:val="24"/>
                <w:lang w:eastAsia="mk-MK"/>
              </w:rPr>
              <w:t>859</w:t>
            </w:r>
          </w:p>
        </w:tc>
        <w:tc>
          <w:tcPr>
            <w:tcW w:w="1404" w:type="dxa"/>
          </w:tcPr>
          <w:p w:rsidR="00A47502" w:rsidRPr="00C66203" w:rsidRDefault="00A47502" w:rsidP="00A47502">
            <w:pPr>
              <w:jc w:val="center"/>
              <w:rPr>
                <w:szCs w:val="24"/>
              </w:rPr>
            </w:pPr>
            <w:r w:rsidRPr="00C66203">
              <w:rPr>
                <w:szCs w:val="24"/>
                <w:lang w:eastAsia="mk-MK"/>
              </w:rPr>
              <w:t>4</w:t>
            </w:r>
            <w:r>
              <w:rPr>
                <w:szCs w:val="24"/>
                <w:lang w:eastAsia="mk-MK"/>
              </w:rPr>
              <w:t>.</w:t>
            </w:r>
            <w:r w:rsidRPr="00C66203">
              <w:rPr>
                <w:szCs w:val="24"/>
                <w:lang w:eastAsia="mk-MK"/>
              </w:rPr>
              <w:t>730</w:t>
            </w:r>
          </w:p>
        </w:tc>
      </w:tr>
      <w:tr w:rsidR="00A47502" w:rsidRPr="00C66203" w:rsidTr="00A47502">
        <w:tc>
          <w:tcPr>
            <w:tcW w:w="2700" w:type="dxa"/>
          </w:tcPr>
          <w:p w:rsidR="00A47502" w:rsidRPr="00C66203" w:rsidRDefault="00A47502" w:rsidP="00A47502">
            <w:pPr>
              <w:rPr>
                <w:szCs w:val="24"/>
              </w:rPr>
            </w:pPr>
            <w:r w:rsidRPr="00C66203">
              <w:rPr>
                <w:szCs w:val="24"/>
              </w:rPr>
              <w:t xml:space="preserve">Гевгелија </w:t>
            </w:r>
          </w:p>
        </w:tc>
        <w:tc>
          <w:tcPr>
            <w:tcW w:w="1620" w:type="dxa"/>
            <w:vAlign w:val="center"/>
          </w:tcPr>
          <w:p w:rsidR="00A47502" w:rsidRPr="00C66203" w:rsidRDefault="00A47502" w:rsidP="00A47502">
            <w:pPr>
              <w:jc w:val="center"/>
              <w:rPr>
                <w:szCs w:val="24"/>
              </w:rPr>
            </w:pPr>
            <w:r w:rsidRPr="00C66203">
              <w:rPr>
                <w:szCs w:val="24"/>
                <w:lang w:eastAsia="mk-MK"/>
              </w:rPr>
              <w:t>22</w:t>
            </w:r>
            <w:r>
              <w:rPr>
                <w:szCs w:val="24"/>
                <w:lang w:eastAsia="mk-MK"/>
              </w:rPr>
              <w:t>.</w:t>
            </w:r>
            <w:r w:rsidRPr="00C66203">
              <w:rPr>
                <w:szCs w:val="24"/>
                <w:lang w:eastAsia="mk-MK"/>
              </w:rPr>
              <w:t>951</w:t>
            </w:r>
          </w:p>
        </w:tc>
        <w:tc>
          <w:tcPr>
            <w:tcW w:w="1620" w:type="dxa"/>
            <w:vAlign w:val="bottom"/>
          </w:tcPr>
          <w:p w:rsidR="00A47502" w:rsidRPr="00C66203" w:rsidRDefault="00A47502" w:rsidP="00A47502">
            <w:pPr>
              <w:jc w:val="center"/>
              <w:rPr>
                <w:color w:val="000000"/>
                <w:szCs w:val="24"/>
              </w:rPr>
            </w:pPr>
            <w:r w:rsidRPr="00C66203">
              <w:rPr>
                <w:color w:val="000000"/>
                <w:szCs w:val="24"/>
              </w:rPr>
              <w:t>1.12</w:t>
            </w:r>
          </w:p>
        </w:tc>
        <w:tc>
          <w:tcPr>
            <w:tcW w:w="1350" w:type="dxa"/>
          </w:tcPr>
          <w:p w:rsidR="00A47502" w:rsidRPr="00C66203" w:rsidRDefault="00A47502" w:rsidP="00A47502">
            <w:pPr>
              <w:jc w:val="center"/>
              <w:rPr>
                <w:szCs w:val="24"/>
              </w:rPr>
            </w:pPr>
            <w:r w:rsidRPr="00C66203">
              <w:rPr>
                <w:szCs w:val="24"/>
                <w:lang w:eastAsia="mk-MK"/>
              </w:rPr>
              <w:t>11</w:t>
            </w:r>
            <w:r>
              <w:rPr>
                <w:szCs w:val="24"/>
                <w:lang w:eastAsia="mk-MK"/>
              </w:rPr>
              <w:t>.</w:t>
            </w:r>
            <w:r w:rsidRPr="00C66203">
              <w:rPr>
                <w:szCs w:val="24"/>
                <w:lang w:eastAsia="mk-MK"/>
              </w:rPr>
              <w:t>384</w:t>
            </w:r>
          </w:p>
        </w:tc>
        <w:tc>
          <w:tcPr>
            <w:tcW w:w="1404" w:type="dxa"/>
          </w:tcPr>
          <w:p w:rsidR="00A47502" w:rsidRPr="00C66203" w:rsidRDefault="00A47502" w:rsidP="00A47502">
            <w:pPr>
              <w:jc w:val="center"/>
              <w:rPr>
                <w:szCs w:val="24"/>
              </w:rPr>
            </w:pPr>
            <w:r w:rsidRPr="00C66203">
              <w:rPr>
                <w:szCs w:val="24"/>
                <w:lang w:eastAsia="mk-MK"/>
              </w:rPr>
              <w:t>11</w:t>
            </w:r>
            <w:r>
              <w:rPr>
                <w:szCs w:val="24"/>
                <w:lang w:eastAsia="mk-MK"/>
              </w:rPr>
              <w:t>.</w:t>
            </w:r>
            <w:r w:rsidRPr="00C66203">
              <w:rPr>
                <w:szCs w:val="24"/>
                <w:lang w:eastAsia="mk-MK"/>
              </w:rPr>
              <w:t>567</w:t>
            </w:r>
          </w:p>
        </w:tc>
      </w:tr>
      <w:tr w:rsidR="00A47502" w:rsidRPr="00C66203" w:rsidTr="00A47502">
        <w:tc>
          <w:tcPr>
            <w:tcW w:w="2700" w:type="dxa"/>
          </w:tcPr>
          <w:p w:rsidR="00A47502" w:rsidRPr="00253E14" w:rsidRDefault="00A47502" w:rsidP="00A47502">
            <w:pPr>
              <w:jc w:val="left"/>
              <w:rPr>
                <w:b/>
                <w:szCs w:val="24"/>
              </w:rPr>
            </w:pPr>
            <w:r w:rsidRPr="00253E14">
              <w:rPr>
                <w:b/>
                <w:szCs w:val="24"/>
              </w:rPr>
              <w:t>Вкупно 9-</w:t>
            </w:r>
            <w:r w:rsidRPr="00DE7A2A">
              <w:rPr>
                <w:b/>
                <w:szCs w:val="24"/>
                <w:vertAlign w:val="superscript"/>
              </w:rPr>
              <w:t xml:space="preserve">те </w:t>
            </w:r>
            <w:r w:rsidRPr="00253E14">
              <w:rPr>
                <w:b/>
                <w:szCs w:val="24"/>
              </w:rPr>
              <w:t>општини</w:t>
            </w:r>
          </w:p>
        </w:tc>
        <w:tc>
          <w:tcPr>
            <w:tcW w:w="1620" w:type="dxa"/>
            <w:vAlign w:val="center"/>
          </w:tcPr>
          <w:p w:rsidR="00A47502" w:rsidRPr="00253E14" w:rsidRDefault="00A47502" w:rsidP="00A47502">
            <w:pPr>
              <w:jc w:val="center"/>
              <w:rPr>
                <w:b/>
                <w:szCs w:val="24"/>
                <w:lang w:eastAsia="mk-MK"/>
              </w:rPr>
            </w:pPr>
            <w:r w:rsidRPr="00253E14">
              <w:rPr>
                <w:b/>
                <w:szCs w:val="24"/>
                <w:lang w:eastAsia="mk-MK"/>
              </w:rPr>
              <w:fldChar w:fldCharType="begin"/>
            </w:r>
            <w:r w:rsidRPr="00253E14">
              <w:rPr>
                <w:b/>
                <w:szCs w:val="24"/>
                <w:lang w:eastAsia="mk-MK"/>
              </w:rPr>
              <w:instrText xml:space="preserve"> =SUM(ABOVE) </w:instrText>
            </w:r>
            <w:r w:rsidRPr="00253E14">
              <w:rPr>
                <w:b/>
                <w:szCs w:val="24"/>
                <w:lang w:eastAsia="mk-MK"/>
              </w:rPr>
              <w:fldChar w:fldCharType="end"/>
            </w:r>
            <w:r w:rsidRPr="00253E14">
              <w:rPr>
                <w:b/>
                <w:szCs w:val="24"/>
                <w:lang w:eastAsia="mk-MK"/>
              </w:rPr>
              <w:t>886.064</w:t>
            </w:r>
          </w:p>
        </w:tc>
        <w:tc>
          <w:tcPr>
            <w:tcW w:w="1620" w:type="dxa"/>
            <w:vAlign w:val="center"/>
          </w:tcPr>
          <w:p w:rsidR="00A47502" w:rsidRPr="00253E14" w:rsidRDefault="00A47502" w:rsidP="00A47502">
            <w:pPr>
              <w:jc w:val="center"/>
              <w:rPr>
                <w:b/>
                <w:color w:val="000000"/>
                <w:szCs w:val="24"/>
              </w:rPr>
            </w:pPr>
            <w:r w:rsidRPr="00253E14">
              <w:rPr>
                <w:b/>
                <w:color w:val="000000"/>
                <w:szCs w:val="24"/>
              </w:rPr>
              <w:t>43,12%</w:t>
            </w:r>
          </w:p>
        </w:tc>
        <w:tc>
          <w:tcPr>
            <w:tcW w:w="1350" w:type="dxa"/>
            <w:vAlign w:val="center"/>
          </w:tcPr>
          <w:p w:rsidR="00A47502" w:rsidRPr="00C66203" w:rsidRDefault="00A47502" w:rsidP="00A47502">
            <w:pPr>
              <w:jc w:val="center"/>
              <w:rPr>
                <w:szCs w:val="24"/>
                <w:lang w:eastAsia="mk-MK"/>
              </w:rPr>
            </w:pPr>
            <w:r>
              <w:rPr>
                <w:szCs w:val="24"/>
                <w:lang w:eastAsia="mk-MK"/>
              </w:rPr>
              <w:t>436.615</w:t>
            </w:r>
          </w:p>
        </w:tc>
        <w:tc>
          <w:tcPr>
            <w:tcW w:w="1404" w:type="dxa"/>
            <w:vAlign w:val="center"/>
          </w:tcPr>
          <w:p w:rsidR="00A47502" w:rsidRPr="00C66203" w:rsidRDefault="00A47502" w:rsidP="00A47502">
            <w:pPr>
              <w:jc w:val="center"/>
              <w:rPr>
                <w:szCs w:val="24"/>
                <w:lang w:eastAsia="mk-MK"/>
              </w:rPr>
            </w:pPr>
            <w:r>
              <w:rPr>
                <w:szCs w:val="24"/>
                <w:lang w:eastAsia="mk-MK"/>
              </w:rPr>
              <w:t>449.449</w:t>
            </w:r>
          </w:p>
        </w:tc>
      </w:tr>
      <w:tr w:rsidR="00A47502" w:rsidRPr="00C66203" w:rsidTr="00A47502">
        <w:tc>
          <w:tcPr>
            <w:tcW w:w="2700" w:type="dxa"/>
          </w:tcPr>
          <w:p w:rsidR="00A47502" w:rsidRPr="00253E14" w:rsidRDefault="00A47502" w:rsidP="00A47502">
            <w:pPr>
              <w:rPr>
                <w:b/>
                <w:i/>
                <w:szCs w:val="24"/>
              </w:rPr>
            </w:pPr>
            <w:r w:rsidRPr="00253E14">
              <w:rPr>
                <w:b/>
                <w:i/>
                <w:szCs w:val="24"/>
              </w:rPr>
              <w:t xml:space="preserve">Вкупно </w:t>
            </w:r>
          </w:p>
          <w:p w:rsidR="00A47502" w:rsidRPr="00C66203" w:rsidRDefault="00A47502" w:rsidP="00A47502">
            <w:pPr>
              <w:rPr>
                <w:b/>
                <w:szCs w:val="24"/>
              </w:rPr>
            </w:pPr>
            <w:r w:rsidRPr="00253E14">
              <w:rPr>
                <w:b/>
                <w:i/>
                <w:szCs w:val="24"/>
              </w:rPr>
              <w:t>Р. Македонија</w:t>
            </w:r>
            <w:r w:rsidRPr="00C66203">
              <w:rPr>
                <w:b/>
                <w:szCs w:val="24"/>
              </w:rPr>
              <w:t xml:space="preserve"> </w:t>
            </w:r>
          </w:p>
        </w:tc>
        <w:tc>
          <w:tcPr>
            <w:tcW w:w="1620" w:type="dxa"/>
            <w:vAlign w:val="center"/>
          </w:tcPr>
          <w:p w:rsidR="00A47502" w:rsidRPr="00C66203" w:rsidRDefault="00A47502" w:rsidP="00A47502">
            <w:pPr>
              <w:jc w:val="center"/>
              <w:rPr>
                <w:b/>
                <w:szCs w:val="24"/>
              </w:rPr>
            </w:pPr>
            <w:r w:rsidRPr="00C66203">
              <w:rPr>
                <w:b/>
                <w:bCs/>
                <w:szCs w:val="24"/>
                <w:lang w:eastAsia="mk-MK"/>
              </w:rPr>
              <w:t>2</w:t>
            </w:r>
            <w:r>
              <w:rPr>
                <w:b/>
                <w:bCs/>
                <w:szCs w:val="24"/>
                <w:lang w:eastAsia="mk-MK"/>
              </w:rPr>
              <w:t>.</w:t>
            </w:r>
            <w:r w:rsidRPr="00C66203">
              <w:rPr>
                <w:b/>
                <w:bCs/>
                <w:szCs w:val="24"/>
                <w:lang w:eastAsia="mk-MK"/>
              </w:rPr>
              <w:t>055</w:t>
            </w:r>
            <w:r>
              <w:rPr>
                <w:b/>
                <w:bCs/>
                <w:szCs w:val="24"/>
                <w:lang w:eastAsia="mk-MK"/>
              </w:rPr>
              <w:t>.</w:t>
            </w:r>
            <w:r w:rsidRPr="00C66203">
              <w:rPr>
                <w:b/>
                <w:bCs/>
                <w:szCs w:val="24"/>
                <w:lang w:eastAsia="mk-MK"/>
              </w:rPr>
              <w:t>004</w:t>
            </w:r>
          </w:p>
        </w:tc>
        <w:tc>
          <w:tcPr>
            <w:tcW w:w="1620" w:type="dxa"/>
            <w:vAlign w:val="center"/>
          </w:tcPr>
          <w:p w:rsidR="00A47502" w:rsidRPr="00C66203" w:rsidRDefault="00A47502" w:rsidP="00A47502">
            <w:pPr>
              <w:jc w:val="center"/>
              <w:rPr>
                <w:b/>
                <w:bCs/>
                <w:szCs w:val="24"/>
                <w:lang w:eastAsia="mk-MK"/>
              </w:rPr>
            </w:pPr>
            <w:r w:rsidRPr="00C66203">
              <w:rPr>
                <w:b/>
                <w:bCs/>
                <w:szCs w:val="24"/>
                <w:lang w:eastAsia="mk-MK"/>
              </w:rPr>
              <w:t>100.00</w:t>
            </w:r>
          </w:p>
        </w:tc>
        <w:tc>
          <w:tcPr>
            <w:tcW w:w="1350" w:type="dxa"/>
            <w:vAlign w:val="center"/>
          </w:tcPr>
          <w:p w:rsidR="00A47502" w:rsidRPr="00C66203" w:rsidRDefault="00A47502" w:rsidP="00A47502">
            <w:pPr>
              <w:jc w:val="center"/>
              <w:rPr>
                <w:szCs w:val="24"/>
              </w:rPr>
            </w:pPr>
            <w:r w:rsidRPr="00C66203">
              <w:rPr>
                <w:b/>
                <w:bCs/>
                <w:szCs w:val="24"/>
                <w:lang w:eastAsia="mk-MK"/>
              </w:rPr>
              <w:t>1</w:t>
            </w:r>
            <w:r>
              <w:rPr>
                <w:b/>
                <w:bCs/>
                <w:szCs w:val="24"/>
                <w:lang w:eastAsia="mk-MK"/>
              </w:rPr>
              <w:t>.</w:t>
            </w:r>
            <w:r w:rsidRPr="00C66203">
              <w:rPr>
                <w:b/>
                <w:bCs/>
                <w:szCs w:val="24"/>
                <w:lang w:eastAsia="mk-MK"/>
              </w:rPr>
              <w:t>029</w:t>
            </w:r>
            <w:r>
              <w:rPr>
                <w:b/>
                <w:bCs/>
                <w:szCs w:val="24"/>
                <w:lang w:eastAsia="mk-MK"/>
              </w:rPr>
              <w:t>.</w:t>
            </w:r>
            <w:r w:rsidRPr="00C66203">
              <w:rPr>
                <w:b/>
                <w:bCs/>
                <w:szCs w:val="24"/>
                <w:lang w:eastAsia="mk-MK"/>
              </w:rPr>
              <w:t>848</w:t>
            </w:r>
          </w:p>
        </w:tc>
        <w:tc>
          <w:tcPr>
            <w:tcW w:w="1404" w:type="dxa"/>
            <w:vAlign w:val="center"/>
          </w:tcPr>
          <w:p w:rsidR="00A47502" w:rsidRPr="00C66203" w:rsidRDefault="00A47502" w:rsidP="00A47502">
            <w:pPr>
              <w:jc w:val="center"/>
              <w:rPr>
                <w:szCs w:val="24"/>
              </w:rPr>
            </w:pPr>
            <w:r w:rsidRPr="00C66203">
              <w:rPr>
                <w:b/>
                <w:bCs/>
                <w:szCs w:val="24"/>
                <w:lang w:eastAsia="mk-MK"/>
              </w:rPr>
              <w:t>1</w:t>
            </w:r>
            <w:r>
              <w:rPr>
                <w:b/>
                <w:bCs/>
                <w:szCs w:val="24"/>
                <w:lang w:eastAsia="mk-MK"/>
              </w:rPr>
              <w:t>.</w:t>
            </w:r>
            <w:r w:rsidRPr="00C66203">
              <w:rPr>
                <w:b/>
                <w:bCs/>
                <w:szCs w:val="24"/>
                <w:lang w:eastAsia="mk-MK"/>
              </w:rPr>
              <w:t>025</w:t>
            </w:r>
            <w:r>
              <w:rPr>
                <w:b/>
                <w:bCs/>
                <w:szCs w:val="24"/>
                <w:lang w:eastAsia="mk-MK"/>
              </w:rPr>
              <w:t>.</w:t>
            </w:r>
            <w:r w:rsidRPr="00C66203">
              <w:rPr>
                <w:b/>
                <w:bCs/>
                <w:szCs w:val="24"/>
                <w:lang w:eastAsia="mk-MK"/>
              </w:rPr>
              <w:t>156</w:t>
            </w:r>
          </w:p>
        </w:tc>
      </w:tr>
    </w:tbl>
    <w:p w:rsidR="00A47502" w:rsidRPr="00DE7A2A" w:rsidRDefault="00A47502" w:rsidP="00A47502">
      <w:pPr>
        <w:tabs>
          <w:tab w:val="left" w:pos="720"/>
        </w:tabs>
        <w:rPr>
          <w:szCs w:val="24"/>
          <w:lang w:eastAsia="mk-MK"/>
        </w:rPr>
      </w:pPr>
      <w:r w:rsidRPr="00DE7A2A">
        <w:rPr>
          <w:szCs w:val="24"/>
          <w:lang w:eastAsia="mk-MK"/>
        </w:rPr>
        <w:t xml:space="preserve">Извор:ДЗС: Статистички годишник на Република Македонија, 2010, Скопје 2011 г. </w:t>
      </w:r>
    </w:p>
    <w:p w:rsidR="00A47502" w:rsidRDefault="00A47502" w:rsidP="00A47502">
      <w:pPr>
        <w:tabs>
          <w:tab w:val="left" w:pos="720"/>
        </w:tabs>
        <w:rPr>
          <w:szCs w:val="24"/>
          <w:lang w:eastAsia="mk-MK"/>
        </w:rPr>
      </w:pPr>
      <w:r>
        <w:rPr>
          <w:szCs w:val="24"/>
          <w:lang w:eastAsia="mk-MK"/>
        </w:rPr>
        <w:tab/>
      </w:r>
    </w:p>
    <w:p w:rsidR="00A47502" w:rsidRDefault="00A47502" w:rsidP="00A47502">
      <w:pPr>
        <w:tabs>
          <w:tab w:val="left" w:pos="720"/>
        </w:tabs>
        <w:rPr>
          <w:szCs w:val="24"/>
          <w:lang w:eastAsia="mk-MK"/>
        </w:rPr>
      </w:pPr>
    </w:p>
    <w:p w:rsidR="00A47502" w:rsidRDefault="00A47502" w:rsidP="00A47502">
      <w:pPr>
        <w:tabs>
          <w:tab w:val="left" w:pos="720"/>
        </w:tabs>
        <w:rPr>
          <w:szCs w:val="24"/>
          <w:lang w:eastAsia="mk-MK"/>
        </w:rPr>
      </w:pPr>
    </w:p>
    <w:p w:rsidR="00A47502" w:rsidRDefault="00A47502" w:rsidP="00A47502">
      <w:pPr>
        <w:tabs>
          <w:tab w:val="left" w:pos="720"/>
        </w:tabs>
        <w:rPr>
          <w:szCs w:val="24"/>
          <w:lang w:eastAsia="mk-MK"/>
        </w:rPr>
      </w:pPr>
    </w:p>
    <w:p w:rsidR="00A47502" w:rsidRDefault="00A47502" w:rsidP="00A47502">
      <w:pPr>
        <w:tabs>
          <w:tab w:val="left" w:pos="720"/>
        </w:tabs>
        <w:rPr>
          <w:szCs w:val="24"/>
          <w:lang w:eastAsia="mk-MK"/>
        </w:rPr>
      </w:pPr>
    </w:p>
    <w:p w:rsidR="00A47502" w:rsidRDefault="00A47502" w:rsidP="00A47502">
      <w:pPr>
        <w:tabs>
          <w:tab w:val="left" w:pos="720"/>
        </w:tabs>
        <w:rPr>
          <w:szCs w:val="24"/>
          <w:lang w:eastAsia="mk-MK"/>
        </w:rPr>
      </w:pPr>
    </w:p>
    <w:p w:rsidR="00A47502" w:rsidRDefault="00A47502" w:rsidP="00A47502">
      <w:pPr>
        <w:tabs>
          <w:tab w:val="left" w:pos="720"/>
        </w:tabs>
        <w:rPr>
          <w:szCs w:val="24"/>
          <w:lang w:eastAsia="mk-MK"/>
        </w:rPr>
      </w:pPr>
    </w:p>
    <w:p w:rsidR="00A47502" w:rsidRDefault="00A47502" w:rsidP="00A47502">
      <w:pPr>
        <w:tabs>
          <w:tab w:val="left" w:pos="720"/>
        </w:tabs>
        <w:rPr>
          <w:szCs w:val="24"/>
          <w:lang w:eastAsia="mk-MK"/>
        </w:rPr>
      </w:pPr>
      <w:r>
        <w:rPr>
          <w:szCs w:val="24"/>
          <w:lang w:eastAsia="mk-MK"/>
        </w:rPr>
        <w:lastRenderedPageBreak/>
        <w:t xml:space="preserve">Графикон 1. - Процентуално учество на избраните општини во вкупното население  </w:t>
      </w:r>
    </w:p>
    <w:p w:rsidR="00A47502" w:rsidRPr="003B5E85" w:rsidRDefault="00A47502" w:rsidP="00A47502">
      <w:pPr>
        <w:tabs>
          <w:tab w:val="left" w:pos="720"/>
        </w:tabs>
        <w:rPr>
          <w:sz w:val="16"/>
          <w:szCs w:val="24"/>
          <w:lang w:eastAsia="mk-MK"/>
        </w:rPr>
      </w:pPr>
    </w:p>
    <w:p w:rsidR="00A47502" w:rsidRDefault="00A47502" w:rsidP="00A47502">
      <w:pPr>
        <w:jc w:val="center"/>
        <w:rPr>
          <w:szCs w:val="24"/>
          <w:lang w:eastAsia="mk-MK"/>
        </w:rPr>
      </w:pPr>
      <w:r>
        <w:rPr>
          <w:noProof/>
          <w:szCs w:val="24"/>
          <w:lang w:val="en-US"/>
        </w:rPr>
        <w:drawing>
          <wp:inline distT="0" distB="0" distL="0" distR="0">
            <wp:extent cx="4557370" cy="2968807"/>
            <wp:effectExtent l="19050" t="0" r="14630" b="2993"/>
            <wp:docPr id="3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47502" w:rsidRDefault="00A47502" w:rsidP="00A47502">
      <w:pPr>
        <w:jc w:val="center"/>
        <w:rPr>
          <w:szCs w:val="24"/>
          <w:lang w:eastAsia="mk-MK"/>
        </w:rPr>
      </w:pPr>
    </w:p>
    <w:p w:rsidR="00A47502" w:rsidRDefault="00A47502" w:rsidP="00A47502">
      <w:pPr>
        <w:jc w:val="center"/>
        <w:rPr>
          <w:szCs w:val="24"/>
          <w:lang w:eastAsia="mk-MK"/>
        </w:rPr>
      </w:pPr>
    </w:p>
    <w:p w:rsidR="00A47502" w:rsidRDefault="00A47502" w:rsidP="00A47502">
      <w:pPr>
        <w:jc w:val="center"/>
        <w:rPr>
          <w:szCs w:val="24"/>
          <w:lang w:eastAsia="mk-MK"/>
        </w:rPr>
      </w:pPr>
      <w:r>
        <w:rPr>
          <w:szCs w:val="24"/>
          <w:lang w:eastAsia="mk-MK"/>
        </w:rPr>
        <w:t>Графикон 2. - Процентуално учество на избраните општини, според пол</w:t>
      </w:r>
    </w:p>
    <w:p w:rsidR="00A47502" w:rsidRPr="003B5E85" w:rsidRDefault="00A47502" w:rsidP="00A47502">
      <w:pPr>
        <w:jc w:val="center"/>
        <w:rPr>
          <w:sz w:val="16"/>
          <w:szCs w:val="24"/>
          <w:lang w:eastAsia="mk-MK"/>
        </w:rPr>
      </w:pPr>
    </w:p>
    <w:p w:rsidR="00A47502" w:rsidRPr="00C66203" w:rsidRDefault="00A47502" w:rsidP="00A47502">
      <w:pPr>
        <w:jc w:val="center"/>
        <w:rPr>
          <w:szCs w:val="24"/>
          <w:lang w:val="en-US" w:eastAsia="mk-MK"/>
        </w:rPr>
      </w:pPr>
      <w:r>
        <w:rPr>
          <w:noProof/>
          <w:szCs w:val="24"/>
          <w:lang w:val="en-US"/>
        </w:rPr>
        <w:drawing>
          <wp:inline distT="0" distB="0" distL="0" distR="0">
            <wp:extent cx="4593534" cy="2916820"/>
            <wp:effectExtent l="19050" t="0" r="16566" b="0"/>
            <wp:docPr id="4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7502" w:rsidRDefault="00A47502" w:rsidP="00A47502">
      <w:pPr>
        <w:rPr>
          <w:szCs w:val="24"/>
          <w:lang w:eastAsia="mk-MK"/>
        </w:rPr>
      </w:pPr>
      <w:r>
        <w:rPr>
          <w:szCs w:val="24"/>
          <w:lang w:eastAsia="mk-MK"/>
        </w:rPr>
        <w:tab/>
      </w:r>
    </w:p>
    <w:p w:rsidR="00A47502" w:rsidRDefault="00A47502" w:rsidP="00A47502">
      <w:pPr>
        <w:rPr>
          <w:szCs w:val="24"/>
          <w:lang w:eastAsia="mk-MK"/>
        </w:rPr>
      </w:pPr>
      <w:r>
        <w:rPr>
          <w:szCs w:val="24"/>
          <w:lang w:eastAsia="mk-MK"/>
        </w:rPr>
        <w:lastRenderedPageBreak/>
        <w:tab/>
      </w:r>
    </w:p>
    <w:p w:rsidR="00A47502" w:rsidRPr="003B5E85" w:rsidRDefault="00A47502" w:rsidP="00A47502">
      <w:pPr>
        <w:rPr>
          <w:szCs w:val="24"/>
          <w:lang w:eastAsia="mk-MK"/>
        </w:rPr>
      </w:pPr>
      <w:r>
        <w:rPr>
          <w:szCs w:val="24"/>
          <w:lang w:eastAsia="mk-MK"/>
        </w:rPr>
        <w:tab/>
      </w:r>
      <w:r w:rsidRPr="003B5E85">
        <w:rPr>
          <w:szCs w:val="24"/>
          <w:lang w:eastAsia="mk-MK"/>
        </w:rPr>
        <w:t>Табела 2. – Население според старост во Општина Дојран</w:t>
      </w:r>
    </w:p>
    <w:p w:rsidR="00A47502" w:rsidRDefault="00A47502" w:rsidP="00A47502">
      <w:pPr>
        <w:jc w:val="center"/>
        <w:rPr>
          <w:i/>
          <w:szCs w:val="24"/>
          <w:lang w:eastAsia="mk-MK"/>
        </w:rPr>
      </w:pPr>
      <w:r w:rsidRPr="003B5E85">
        <w:rPr>
          <w:i/>
          <w:szCs w:val="24"/>
          <w:lang w:eastAsia="mk-MK"/>
        </w:rPr>
        <w:t>(Состојба јуни 2010 година)</w:t>
      </w:r>
    </w:p>
    <w:p w:rsidR="00A47502" w:rsidRPr="003B5E85" w:rsidRDefault="00A47502" w:rsidP="00A47502">
      <w:pPr>
        <w:jc w:val="center"/>
        <w:rPr>
          <w:i/>
          <w:szCs w:val="24"/>
          <w:lang w:eastAsia="mk-MK"/>
        </w:rPr>
      </w:pPr>
    </w:p>
    <w:tbl>
      <w:tblPr>
        <w:tblW w:w="5132" w:type="dxa"/>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2"/>
        <w:gridCol w:w="974"/>
        <w:gridCol w:w="903"/>
        <w:gridCol w:w="1243"/>
      </w:tblGrid>
      <w:tr w:rsidR="00A47502" w:rsidRPr="003B5E85" w:rsidTr="00A47502">
        <w:trPr>
          <w:trHeight w:hRule="exact" w:val="347"/>
          <w:jc w:val="center"/>
        </w:trPr>
        <w:tc>
          <w:tcPr>
            <w:tcW w:w="2012" w:type="dxa"/>
            <w:shd w:val="clear" w:color="auto" w:fill="D9D9D9" w:themeFill="background1" w:themeFillShade="D9"/>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Возраст</w:t>
            </w:r>
          </w:p>
        </w:tc>
        <w:tc>
          <w:tcPr>
            <w:tcW w:w="974" w:type="dxa"/>
            <w:shd w:val="clear" w:color="auto" w:fill="D9D9D9" w:themeFill="background1" w:themeFillShade="D9"/>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Се</w:t>
            </w:r>
          </w:p>
        </w:tc>
        <w:tc>
          <w:tcPr>
            <w:tcW w:w="903" w:type="dxa"/>
            <w:shd w:val="clear" w:color="auto" w:fill="D9D9D9" w:themeFill="background1" w:themeFillShade="D9"/>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eastAsia="mk-MK"/>
              </w:rPr>
              <w:t>Мажи</w:t>
            </w:r>
          </w:p>
        </w:tc>
        <w:tc>
          <w:tcPr>
            <w:tcW w:w="1243" w:type="dxa"/>
            <w:shd w:val="clear" w:color="auto" w:fill="D9D9D9" w:themeFill="background1" w:themeFillShade="D9"/>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Жени</w:t>
            </w:r>
          </w:p>
        </w:tc>
      </w:tr>
      <w:tr w:rsidR="00A47502" w:rsidRPr="003B5E85" w:rsidTr="00A47502">
        <w:trPr>
          <w:trHeight w:hRule="exac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Вкупно</w:t>
            </w:r>
            <w:r w:rsidRPr="003B5E85">
              <w:rPr>
                <w:rFonts w:eastAsia="Times New Roman"/>
                <w:b/>
                <w:color w:val="000000"/>
                <w:szCs w:val="24"/>
                <w:lang w:eastAsia="mk-MK"/>
              </w:rPr>
              <w:t xml:space="preserve"> </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3338</w:t>
            </w:r>
            <w:r w:rsidRPr="003B5E85">
              <w:rPr>
                <w:rFonts w:eastAsia="Times New Roman"/>
                <w:b/>
                <w:color w:val="000000"/>
                <w:szCs w:val="24"/>
                <w:lang w:eastAsia="mk-MK"/>
              </w:rPr>
              <w:t xml:space="preserve"> </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1665</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1673</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0</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34</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15</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19</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1-4</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132</w:t>
            </w:r>
            <w:r w:rsidRPr="003B5E85">
              <w:rPr>
                <w:rFonts w:eastAsia="Times New Roman"/>
                <w:b/>
                <w:color w:val="000000"/>
                <w:szCs w:val="24"/>
                <w:lang w:eastAsia="mk-MK"/>
              </w:rPr>
              <w:t xml:space="preserve"> </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64</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68</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5-9</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153</w:t>
            </w:r>
            <w:r w:rsidRPr="003B5E85">
              <w:rPr>
                <w:rFonts w:eastAsia="Times New Roman"/>
                <w:b/>
                <w:color w:val="000000"/>
                <w:szCs w:val="24"/>
                <w:lang w:eastAsia="mk-MK"/>
              </w:rPr>
              <w:t xml:space="preserve"> </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77</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76</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10-14</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192</w:t>
            </w:r>
            <w:r w:rsidRPr="003B5E85">
              <w:rPr>
                <w:rFonts w:eastAsia="Times New Roman"/>
                <w:b/>
                <w:color w:val="000000"/>
                <w:szCs w:val="24"/>
                <w:lang w:eastAsia="mk-MK"/>
              </w:rPr>
              <w:t xml:space="preserve"> </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100</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92</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15 - 19</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237</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104</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133</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20 - 24</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297</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152</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145</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25 - 29</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241</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126</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115</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30 - 34</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224</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128</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96</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35 - 39</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233</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117</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116</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40 - 44</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249</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121</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128</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45 - 49</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286</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158</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128</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50 - 54</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235</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131</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104</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55 -59</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217</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103</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114</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60 - 64</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146</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71</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75</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65 - 69</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138</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62</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76</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70 - 74</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139</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59</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80</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75 - 79</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105</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45</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60</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80 - 84</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52</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23</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29</w:t>
            </w:r>
          </w:p>
        </w:tc>
      </w:tr>
      <w:tr w:rsidR="00A47502" w:rsidRPr="003B5E85" w:rsidTr="00A47502">
        <w:trPr>
          <w:trHeight w:val="330"/>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85 и повеќе</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28</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9</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19</w:t>
            </w:r>
          </w:p>
        </w:tc>
      </w:tr>
      <w:tr w:rsidR="00A47502" w:rsidRPr="003B5E85" w:rsidTr="00A47502">
        <w:trPr>
          <w:trHeight w:hRule="exact" w:val="658"/>
          <w:jc w:val="center"/>
        </w:trPr>
        <w:tc>
          <w:tcPr>
            <w:tcW w:w="2012" w:type="dxa"/>
            <w:shd w:val="clear" w:color="auto" w:fill="F2F2F2"/>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Hепозната возраст</w:t>
            </w:r>
          </w:p>
        </w:tc>
        <w:tc>
          <w:tcPr>
            <w:tcW w:w="974" w:type="dxa"/>
            <w:shd w:val="clear" w:color="auto" w:fill="auto"/>
            <w:vAlign w:val="center"/>
            <w:hideMark/>
          </w:tcPr>
          <w:p w:rsidR="00A47502" w:rsidRPr="003B5E85" w:rsidRDefault="00A47502" w:rsidP="00A47502">
            <w:pPr>
              <w:jc w:val="center"/>
              <w:rPr>
                <w:rFonts w:eastAsia="Times New Roman"/>
                <w:b/>
                <w:color w:val="000000"/>
                <w:szCs w:val="24"/>
                <w:lang w:eastAsia="mk-MK"/>
              </w:rPr>
            </w:pPr>
            <w:r w:rsidRPr="003B5E85">
              <w:rPr>
                <w:rFonts w:eastAsia="Times New Roman"/>
                <w:b/>
                <w:color w:val="000000"/>
                <w:szCs w:val="24"/>
                <w:lang w:val="en-US" w:eastAsia="mk-MK"/>
              </w:rPr>
              <w:t>0</w:t>
            </w:r>
          </w:p>
        </w:tc>
        <w:tc>
          <w:tcPr>
            <w:tcW w:w="90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val="en-US" w:eastAsia="mk-MK"/>
              </w:rPr>
              <w:t>0</w:t>
            </w:r>
          </w:p>
        </w:tc>
        <w:tc>
          <w:tcPr>
            <w:tcW w:w="1243" w:type="dxa"/>
            <w:shd w:val="clear" w:color="auto" w:fill="auto"/>
            <w:vAlign w:val="center"/>
            <w:hideMark/>
          </w:tcPr>
          <w:p w:rsidR="00A47502" w:rsidRPr="003B5E85" w:rsidRDefault="00A47502" w:rsidP="00A47502">
            <w:pPr>
              <w:jc w:val="center"/>
              <w:rPr>
                <w:rFonts w:eastAsia="Times New Roman"/>
                <w:color w:val="000000"/>
                <w:szCs w:val="24"/>
                <w:lang w:eastAsia="mk-MK"/>
              </w:rPr>
            </w:pPr>
            <w:r w:rsidRPr="003B5E85">
              <w:rPr>
                <w:rFonts w:eastAsia="Times New Roman"/>
                <w:color w:val="000000"/>
                <w:szCs w:val="24"/>
                <w:lang w:eastAsia="mk-MK"/>
              </w:rPr>
              <w:t>0</w:t>
            </w:r>
          </w:p>
        </w:tc>
      </w:tr>
    </w:tbl>
    <w:p w:rsidR="00A47502" w:rsidRPr="003B5E85" w:rsidRDefault="00A47502" w:rsidP="00A47502">
      <w:pPr>
        <w:rPr>
          <w:szCs w:val="24"/>
          <w:lang w:eastAsia="mk-MK"/>
        </w:rPr>
      </w:pPr>
    </w:p>
    <w:p w:rsidR="00A47502" w:rsidRDefault="00A47502" w:rsidP="00A47502">
      <w:pPr>
        <w:jc w:val="center"/>
        <w:rPr>
          <w:szCs w:val="24"/>
          <w:lang w:eastAsia="mk-MK"/>
        </w:rPr>
      </w:pPr>
    </w:p>
    <w:p w:rsidR="00A47502" w:rsidRDefault="00A47502" w:rsidP="00A47502">
      <w:pPr>
        <w:jc w:val="center"/>
        <w:rPr>
          <w:szCs w:val="24"/>
          <w:lang w:eastAsia="mk-MK"/>
        </w:rPr>
      </w:pPr>
    </w:p>
    <w:p w:rsidR="00A47502" w:rsidRDefault="00A47502" w:rsidP="00A47502">
      <w:pPr>
        <w:jc w:val="center"/>
        <w:rPr>
          <w:szCs w:val="24"/>
          <w:lang w:eastAsia="mk-MK"/>
        </w:rPr>
      </w:pPr>
    </w:p>
    <w:p w:rsidR="00A47502" w:rsidRDefault="00A47502" w:rsidP="00A47502">
      <w:pPr>
        <w:jc w:val="center"/>
        <w:rPr>
          <w:szCs w:val="24"/>
          <w:lang w:eastAsia="mk-MK"/>
        </w:rPr>
      </w:pPr>
    </w:p>
    <w:p w:rsidR="00A47502" w:rsidRDefault="00A47502" w:rsidP="00A47502">
      <w:pPr>
        <w:jc w:val="center"/>
        <w:rPr>
          <w:szCs w:val="24"/>
          <w:lang w:eastAsia="mk-MK"/>
        </w:rPr>
      </w:pPr>
    </w:p>
    <w:p w:rsidR="00A47502" w:rsidRDefault="00A47502" w:rsidP="00A47502">
      <w:pPr>
        <w:jc w:val="center"/>
        <w:rPr>
          <w:szCs w:val="24"/>
          <w:lang w:eastAsia="mk-MK"/>
        </w:rPr>
      </w:pPr>
    </w:p>
    <w:p w:rsidR="00A47502" w:rsidRDefault="00A47502" w:rsidP="00A47502">
      <w:pPr>
        <w:jc w:val="center"/>
        <w:rPr>
          <w:szCs w:val="24"/>
          <w:lang w:eastAsia="mk-MK"/>
        </w:rPr>
      </w:pPr>
    </w:p>
    <w:p w:rsidR="00A47502" w:rsidRDefault="00A47502" w:rsidP="00A47502">
      <w:pPr>
        <w:jc w:val="center"/>
        <w:rPr>
          <w:szCs w:val="24"/>
          <w:lang w:eastAsia="mk-MK"/>
        </w:rPr>
      </w:pPr>
    </w:p>
    <w:p w:rsidR="00A47502" w:rsidRPr="003B5E85" w:rsidRDefault="00A47502" w:rsidP="00A47502">
      <w:pPr>
        <w:jc w:val="center"/>
        <w:rPr>
          <w:szCs w:val="24"/>
          <w:lang w:eastAsia="mk-MK"/>
        </w:rPr>
      </w:pPr>
      <w:r w:rsidRPr="003B5E85">
        <w:rPr>
          <w:szCs w:val="24"/>
          <w:lang w:eastAsia="mk-MK"/>
        </w:rPr>
        <w:lastRenderedPageBreak/>
        <w:t xml:space="preserve">Графикон 3. – Старосна пирамида на Општина Дојран </w:t>
      </w:r>
    </w:p>
    <w:p w:rsidR="00A47502" w:rsidRDefault="00A47502" w:rsidP="00A47502">
      <w:pPr>
        <w:jc w:val="center"/>
        <w:rPr>
          <w:i/>
          <w:szCs w:val="24"/>
          <w:lang w:eastAsia="mk-MK"/>
        </w:rPr>
      </w:pPr>
      <w:r w:rsidRPr="003B5E85">
        <w:rPr>
          <w:i/>
          <w:szCs w:val="24"/>
          <w:lang w:eastAsia="mk-MK"/>
        </w:rPr>
        <w:t>(состојба јуни 2010 година)</w:t>
      </w:r>
    </w:p>
    <w:p w:rsidR="00A47502" w:rsidRPr="003B5E85" w:rsidRDefault="00A47502" w:rsidP="00A47502">
      <w:pPr>
        <w:jc w:val="center"/>
        <w:rPr>
          <w:i/>
          <w:szCs w:val="24"/>
          <w:lang w:eastAsia="mk-MK"/>
        </w:rPr>
      </w:pPr>
    </w:p>
    <w:p w:rsidR="00A47502" w:rsidRPr="00C66203" w:rsidRDefault="00A47502" w:rsidP="00A47502">
      <w:pPr>
        <w:jc w:val="center"/>
        <w:rPr>
          <w:szCs w:val="24"/>
          <w:lang w:eastAsia="mk-MK"/>
        </w:rPr>
      </w:pPr>
      <w:r>
        <w:rPr>
          <w:noProof/>
          <w:szCs w:val="24"/>
          <w:lang w:val="en-US"/>
        </w:rPr>
        <w:drawing>
          <wp:inline distT="0" distB="0" distL="0" distR="0">
            <wp:extent cx="4762219" cy="4190036"/>
            <wp:effectExtent l="19050" t="0" r="19331" b="964"/>
            <wp:docPr id="4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7502" w:rsidRDefault="00A47502" w:rsidP="00A47502">
      <w:pPr>
        <w:rPr>
          <w:szCs w:val="24"/>
          <w:lang w:eastAsia="mk-MK"/>
        </w:rPr>
      </w:pPr>
      <w:r>
        <w:rPr>
          <w:szCs w:val="24"/>
          <w:lang w:eastAsia="mk-MK"/>
        </w:rPr>
        <w:tab/>
      </w:r>
    </w:p>
    <w:p w:rsidR="00A47502" w:rsidRDefault="00A47502" w:rsidP="00A47502">
      <w:pPr>
        <w:rPr>
          <w:szCs w:val="24"/>
          <w:lang w:eastAsia="mk-MK"/>
        </w:rPr>
      </w:pPr>
    </w:p>
    <w:p w:rsidR="00A47502" w:rsidRDefault="00A47502" w:rsidP="00A47502">
      <w:pPr>
        <w:rPr>
          <w:szCs w:val="24"/>
          <w:lang w:eastAsia="mk-MK"/>
        </w:rPr>
      </w:pPr>
      <w:r>
        <w:rPr>
          <w:szCs w:val="24"/>
          <w:lang w:eastAsia="mk-MK"/>
        </w:rPr>
        <w:tab/>
        <w:t xml:space="preserve">Од табелите и графиконите јасно произлегува, дека Општина Дојран популациски заостанува зад осумте општини, како според бројот, така и според останатата популацикса структура. Вакавата домицилна популацика слика на Општина Дојран, значи и извесно ограничување во развојот на туризмот. </w:t>
      </w:r>
    </w:p>
    <w:p w:rsidR="00A47502" w:rsidRDefault="00A47502" w:rsidP="00A47502">
      <w:pPr>
        <w:rPr>
          <w:szCs w:val="24"/>
          <w:lang w:val="en-US" w:eastAsia="mk-MK"/>
        </w:rPr>
      </w:pPr>
      <w:r>
        <w:rPr>
          <w:szCs w:val="24"/>
          <w:lang w:eastAsia="mk-MK"/>
        </w:rPr>
        <w:tab/>
        <w:t xml:space="preserve">Сепак, во унапредувањето на туризмот, особено во летната туристичка сезона, значително придонесува и привремено ангажираното население на определено вработување, што не е случај во останатиот дел од годината. Како и да е, во планирањето и развојот на туризмот, на демографската стуктура треба да му се посвети особено внимание. </w:t>
      </w:r>
    </w:p>
    <w:p w:rsidR="00A47502" w:rsidRDefault="00A47502" w:rsidP="00A47502">
      <w:pPr>
        <w:rPr>
          <w:szCs w:val="24"/>
          <w:lang w:val="en-US" w:eastAsia="mk-MK"/>
        </w:rPr>
      </w:pPr>
    </w:p>
    <w:p w:rsidR="00A47502" w:rsidRPr="00A47502" w:rsidRDefault="00A47502" w:rsidP="00A47502">
      <w:pPr>
        <w:rPr>
          <w:szCs w:val="24"/>
          <w:lang w:val="en-US" w:eastAsia="mk-MK"/>
        </w:rPr>
      </w:pPr>
    </w:p>
    <w:p w:rsidR="00A47502" w:rsidRDefault="00A47502" w:rsidP="00A47502">
      <w:pPr>
        <w:numPr>
          <w:ilvl w:val="0"/>
          <w:numId w:val="1"/>
        </w:numPr>
        <w:spacing w:after="200"/>
        <w:rPr>
          <w:b/>
          <w:szCs w:val="24"/>
        </w:rPr>
      </w:pPr>
      <w:r>
        <w:rPr>
          <w:b/>
          <w:szCs w:val="24"/>
        </w:rPr>
        <w:lastRenderedPageBreak/>
        <w:t>Основни угостителски и сместувачки податоци</w:t>
      </w:r>
    </w:p>
    <w:p w:rsidR="00A47502" w:rsidRDefault="00A47502" w:rsidP="00A47502">
      <w:pPr>
        <w:rPr>
          <w:szCs w:val="24"/>
        </w:rPr>
      </w:pPr>
      <w:r>
        <w:rPr>
          <w:szCs w:val="24"/>
        </w:rPr>
        <w:tab/>
      </w:r>
      <w:r w:rsidRPr="00C66203">
        <w:rPr>
          <w:szCs w:val="24"/>
        </w:rPr>
        <w:t xml:space="preserve">Развиеноста на угостителството е фактор за развоја на туризмот. </w:t>
      </w:r>
      <w:r>
        <w:rPr>
          <w:szCs w:val="24"/>
        </w:rPr>
        <w:t>В</w:t>
      </w:r>
      <w:r w:rsidRPr="00C66203">
        <w:rPr>
          <w:szCs w:val="24"/>
        </w:rPr>
        <w:t xml:space="preserve">рз основа на податоците од </w:t>
      </w:r>
      <w:r>
        <w:rPr>
          <w:szCs w:val="24"/>
        </w:rPr>
        <w:t xml:space="preserve"> Заводот за с</w:t>
      </w:r>
      <w:r w:rsidRPr="00C66203">
        <w:rPr>
          <w:szCs w:val="24"/>
        </w:rPr>
        <w:t>татистик</w:t>
      </w:r>
      <w:r>
        <w:rPr>
          <w:szCs w:val="24"/>
        </w:rPr>
        <w:t xml:space="preserve">а, ќе </w:t>
      </w:r>
      <w:r w:rsidRPr="00C66203">
        <w:rPr>
          <w:szCs w:val="24"/>
        </w:rPr>
        <w:t xml:space="preserve">ја споредуваме угостителската дејност на </w:t>
      </w:r>
      <w:r>
        <w:rPr>
          <w:szCs w:val="24"/>
        </w:rPr>
        <w:t>О</w:t>
      </w:r>
      <w:r w:rsidRPr="00C66203">
        <w:rPr>
          <w:szCs w:val="24"/>
        </w:rPr>
        <w:t xml:space="preserve">пштина Дојран со вкупното угостителство </w:t>
      </w:r>
      <w:r>
        <w:rPr>
          <w:szCs w:val="24"/>
        </w:rPr>
        <w:t xml:space="preserve">во наведените осум општини, и збирно во РМ. Во анализата се апсолвирани </w:t>
      </w:r>
      <w:r w:rsidRPr="00C66203">
        <w:rPr>
          <w:szCs w:val="24"/>
        </w:rPr>
        <w:t>број</w:t>
      </w:r>
      <w:r>
        <w:rPr>
          <w:szCs w:val="24"/>
        </w:rPr>
        <w:t>от</w:t>
      </w:r>
      <w:r w:rsidRPr="00C66203">
        <w:rPr>
          <w:szCs w:val="24"/>
        </w:rPr>
        <w:t xml:space="preserve"> на угостителските објекти, капацитетот </w:t>
      </w:r>
      <w:r>
        <w:rPr>
          <w:szCs w:val="24"/>
        </w:rPr>
        <w:t xml:space="preserve">– бројот на седишта и бројот на </w:t>
      </w:r>
      <w:r w:rsidRPr="00C66203">
        <w:rPr>
          <w:szCs w:val="24"/>
        </w:rPr>
        <w:t>вработени</w:t>
      </w:r>
      <w:r>
        <w:rPr>
          <w:szCs w:val="24"/>
        </w:rPr>
        <w:t xml:space="preserve">. </w:t>
      </w:r>
    </w:p>
    <w:p w:rsidR="00A47502" w:rsidRDefault="00A47502" w:rsidP="00A47502">
      <w:pPr>
        <w:rPr>
          <w:szCs w:val="24"/>
        </w:rPr>
      </w:pPr>
      <w:r>
        <w:rPr>
          <w:szCs w:val="24"/>
        </w:rPr>
        <w:tab/>
        <w:t xml:space="preserve">Сумирано апсолвираните девет општини во угостителството на РМ, имаат високо учество од 45,8% за угостителските објекти, 42,3% за седиштата-капацитетот на објектите, и 54,4% за бројот на вработени лица. Рангирано, за трите елементи, на прво место доминира Скопје, а на предпоследно место е Општина Дојран (Види Табела 3.) Конкретно за Општина Дојран ги бележиме следните факти. Во Дојран бројот на угостителски објекти изнесува 23 со учество од 0,49%,  бројот на седишта изнесува 1360 со учество од 0,71%, бројот на вработени лица изнесува само 69 со учество од 0,43%, односно според елаборираните параметри општината се наоѓа на осмото место. </w:t>
      </w:r>
    </w:p>
    <w:p w:rsidR="00A47502" w:rsidRPr="00025637" w:rsidRDefault="00A47502" w:rsidP="00A47502">
      <w:pPr>
        <w:rPr>
          <w:b/>
          <w:bCs/>
          <w:szCs w:val="24"/>
          <w:lang w:val="en-US"/>
        </w:rPr>
      </w:pPr>
      <w:r>
        <w:rPr>
          <w:szCs w:val="24"/>
        </w:rPr>
        <w:tab/>
        <w:t xml:space="preserve"> Исто така, соодносот вработен / угостителски објект за Општина Дојрана изнесува, 3 вработени на угостителски објект, корелациониот коефициент помеѓу угостителските објекти и бројот на вработени е позитивен и изнесува 1,14, и искористеноста на угостителските објекти по седиште и гости,  изнесува 37 гости на </w:t>
      </w:r>
    </w:p>
    <w:p w:rsidR="00A47502" w:rsidRDefault="00A47502" w:rsidP="00A47502">
      <w:pPr>
        <w:rPr>
          <w:bCs/>
          <w:szCs w:val="24"/>
        </w:rPr>
      </w:pPr>
      <w:r w:rsidRPr="001A204E">
        <w:rPr>
          <w:bCs/>
          <w:szCs w:val="24"/>
        </w:rPr>
        <w:t>седиште.</w:t>
      </w:r>
    </w:p>
    <w:p w:rsidR="00A47502" w:rsidRPr="003B5E85" w:rsidRDefault="00A47502" w:rsidP="00A47502">
      <w:pPr>
        <w:rPr>
          <w:bCs/>
          <w:sz w:val="16"/>
          <w:szCs w:val="24"/>
        </w:rPr>
      </w:pPr>
    </w:p>
    <w:p w:rsidR="00A47502" w:rsidRPr="003B5E85" w:rsidRDefault="00A47502" w:rsidP="00A47502">
      <w:pPr>
        <w:jc w:val="center"/>
        <w:rPr>
          <w:sz w:val="20"/>
          <w:szCs w:val="24"/>
        </w:rPr>
      </w:pPr>
      <w:r w:rsidRPr="003B5E85">
        <w:rPr>
          <w:sz w:val="20"/>
          <w:szCs w:val="24"/>
          <w:lang w:eastAsia="mk-MK"/>
        </w:rPr>
        <w:t xml:space="preserve">Табела 3. – Капацитети во угостителството </w:t>
      </w:r>
      <w:r w:rsidRPr="003B5E85">
        <w:rPr>
          <w:sz w:val="20"/>
          <w:szCs w:val="24"/>
        </w:rPr>
        <w:t>во Општина Дојран и избраните општини</w:t>
      </w:r>
    </w:p>
    <w:p w:rsidR="00A47502" w:rsidRPr="003B5E85" w:rsidRDefault="00A47502" w:rsidP="00A47502">
      <w:pPr>
        <w:jc w:val="right"/>
        <w:rPr>
          <w:sz w:val="20"/>
          <w:szCs w:val="24"/>
          <w:lang w:eastAsia="mk-MK"/>
        </w:rPr>
      </w:pPr>
      <w:r w:rsidRPr="003B5E85">
        <w:rPr>
          <w:i/>
          <w:sz w:val="20"/>
          <w:szCs w:val="24"/>
        </w:rPr>
        <w:t>(состојба 2010 год.)</w:t>
      </w:r>
    </w:p>
    <w:tbl>
      <w:tblPr>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810"/>
        <w:gridCol w:w="990"/>
        <w:gridCol w:w="900"/>
        <w:gridCol w:w="720"/>
        <w:gridCol w:w="810"/>
        <w:gridCol w:w="990"/>
      </w:tblGrid>
      <w:tr w:rsidR="00A47502" w:rsidRPr="00C66203" w:rsidTr="00A47502">
        <w:tc>
          <w:tcPr>
            <w:tcW w:w="2268" w:type="dxa"/>
            <w:vMerge w:val="restart"/>
          </w:tcPr>
          <w:p w:rsidR="00A47502" w:rsidRPr="0018202F" w:rsidRDefault="00A47502" w:rsidP="00A47502">
            <w:pPr>
              <w:rPr>
                <w:sz w:val="20"/>
                <w:szCs w:val="20"/>
              </w:rPr>
            </w:pPr>
            <w:r w:rsidRPr="0018202F">
              <w:rPr>
                <w:sz w:val="20"/>
                <w:szCs w:val="20"/>
              </w:rPr>
              <w:t xml:space="preserve">Општина </w:t>
            </w:r>
          </w:p>
        </w:tc>
        <w:tc>
          <w:tcPr>
            <w:tcW w:w="1800" w:type="dxa"/>
            <w:gridSpan w:val="2"/>
          </w:tcPr>
          <w:p w:rsidR="00A47502" w:rsidRPr="0018202F" w:rsidRDefault="00A47502" w:rsidP="00A47502">
            <w:pPr>
              <w:jc w:val="center"/>
              <w:rPr>
                <w:sz w:val="20"/>
                <w:szCs w:val="20"/>
              </w:rPr>
            </w:pPr>
            <w:r w:rsidRPr="0018202F">
              <w:rPr>
                <w:sz w:val="20"/>
                <w:szCs w:val="20"/>
              </w:rPr>
              <w:t>Угостителски објекти</w:t>
            </w:r>
          </w:p>
        </w:tc>
        <w:tc>
          <w:tcPr>
            <w:tcW w:w="1620" w:type="dxa"/>
            <w:gridSpan w:val="2"/>
          </w:tcPr>
          <w:p w:rsidR="00A47502" w:rsidRPr="0018202F" w:rsidRDefault="00A47502" w:rsidP="00A47502">
            <w:pPr>
              <w:jc w:val="center"/>
              <w:rPr>
                <w:sz w:val="20"/>
                <w:szCs w:val="20"/>
              </w:rPr>
            </w:pPr>
            <w:r w:rsidRPr="0018202F">
              <w:rPr>
                <w:sz w:val="20"/>
                <w:szCs w:val="20"/>
              </w:rPr>
              <w:t>Број на седишта</w:t>
            </w:r>
          </w:p>
        </w:tc>
        <w:tc>
          <w:tcPr>
            <w:tcW w:w="1800" w:type="dxa"/>
            <w:gridSpan w:val="2"/>
          </w:tcPr>
          <w:p w:rsidR="00A47502" w:rsidRPr="0018202F" w:rsidRDefault="00A47502" w:rsidP="00A47502">
            <w:pPr>
              <w:jc w:val="center"/>
              <w:rPr>
                <w:sz w:val="20"/>
                <w:szCs w:val="20"/>
              </w:rPr>
            </w:pPr>
            <w:r w:rsidRPr="0018202F">
              <w:rPr>
                <w:sz w:val="20"/>
                <w:szCs w:val="20"/>
              </w:rPr>
              <w:t>Број на вработени</w:t>
            </w:r>
          </w:p>
        </w:tc>
      </w:tr>
      <w:tr w:rsidR="00A47502" w:rsidRPr="00C66203" w:rsidTr="00A47502">
        <w:tc>
          <w:tcPr>
            <w:tcW w:w="2268" w:type="dxa"/>
            <w:vMerge/>
          </w:tcPr>
          <w:p w:rsidR="00A47502" w:rsidRPr="0018202F" w:rsidRDefault="00A47502" w:rsidP="00A47502">
            <w:pPr>
              <w:rPr>
                <w:sz w:val="20"/>
                <w:szCs w:val="20"/>
              </w:rPr>
            </w:pPr>
          </w:p>
        </w:tc>
        <w:tc>
          <w:tcPr>
            <w:tcW w:w="810" w:type="dxa"/>
          </w:tcPr>
          <w:p w:rsidR="00A47502" w:rsidRPr="0018202F" w:rsidRDefault="00A47502" w:rsidP="00A47502">
            <w:pPr>
              <w:jc w:val="center"/>
              <w:rPr>
                <w:sz w:val="20"/>
                <w:szCs w:val="20"/>
              </w:rPr>
            </w:pPr>
            <w:r w:rsidRPr="0018202F">
              <w:rPr>
                <w:sz w:val="20"/>
                <w:szCs w:val="20"/>
              </w:rPr>
              <w:t>Број</w:t>
            </w:r>
          </w:p>
        </w:tc>
        <w:tc>
          <w:tcPr>
            <w:tcW w:w="990" w:type="dxa"/>
          </w:tcPr>
          <w:p w:rsidR="00A47502" w:rsidRPr="0018202F" w:rsidRDefault="00A47502" w:rsidP="00A47502">
            <w:pPr>
              <w:jc w:val="center"/>
              <w:rPr>
                <w:sz w:val="20"/>
                <w:szCs w:val="20"/>
              </w:rPr>
            </w:pPr>
            <w:r w:rsidRPr="0018202F">
              <w:rPr>
                <w:sz w:val="20"/>
                <w:szCs w:val="20"/>
              </w:rPr>
              <w:t>%</w:t>
            </w:r>
          </w:p>
        </w:tc>
        <w:tc>
          <w:tcPr>
            <w:tcW w:w="900" w:type="dxa"/>
          </w:tcPr>
          <w:p w:rsidR="00A47502" w:rsidRPr="0018202F" w:rsidRDefault="00A47502" w:rsidP="00A47502">
            <w:pPr>
              <w:jc w:val="center"/>
              <w:rPr>
                <w:sz w:val="20"/>
                <w:szCs w:val="20"/>
              </w:rPr>
            </w:pPr>
            <w:r w:rsidRPr="0018202F">
              <w:rPr>
                <w:sz w:val="20"/>
                <w:szCs w:val="20"/>
              </w:rPr>
              <w:t>Број</w:t>
            </w:r>
          </w:p>
        </w:tc>
        <w:tc>
          <w:tcPr>
            <w:tcW w:w="720" w:type="dxa"/>
          </w:tcPr>
          <w:p w:rsidR="00A47502" w:rsidRPr="0018202F" w:rsidRDefault="00A47502" w:rsidP="00A47502">
            <w:pPr>
              <w:jc w:val="center"/>
              <w:rPr>
                <w:sz w:val="20"/>
                <w:szCs w:val="20"/>
              </w:rPr>
            </w:pPr>
            <w:r w:rsidRPr="0018202F">
              <w:rPr>
                <w:sz w:val="20"/>
                <w:szCs w:val="20"/>
              </w:rPr>
              <w:t>%</w:t>
            </w:r>
          </w:p>
        </w:tc>
        <w:tc>
          <w:tcPr>
            <w:tcW w:w="810" w:type="dxa"/>
          </w:tcPr>
          <w:p w:rsidR="00A47502" w:rsidRPr="0018202F" w:rsidRDefault="00A47502" w:rsidP="00A47502">
            <w:pPr>
              <w:jc w:val="center"/>
              <w:rPr>
                <w:sz w:val="20"/>
                <w:szCs w:val="20"/>
              </w:rPr>
            </w:pPr>
            <w:r w:rsidRPr="0018202F">
              <w:rPr>
                <w:sz w:val="20"/>
                <w:szCs w:val="20"/>
              </w:rPr>
              <w:t>Број</w:t>
            </w:r>
          </w:p>
        </w:tc>
        <w:tc>
          <w:tcPr>
            <w:tcW w:w="990" w:type="dxa"/>
          </w:tcPr>
          <w:p w:rsidR="00A47502" w:rsidRPr="0018202F" w:rsidRDefault="00A47502" w:rsidP="00A47502">
            <w:pPr>
              <w:jc w:val="center"/>
              <w:rPr>
                <w:sz w:val="20"/>
                <w:szCs w:val="20"/>
              </w:rPr>
            </w:pPr>
            <w:r w:rsidRPr="0018202F">
              <w:rPr>
                <w:sz w:val="20"/>
                <w:szCs w:val="20"/>
              </w:rPr>
              <w:t>%</w:t>
            </w:r>
          </w:p>
        </w:tc>
      </w:tr>
      <w:tr w:rsidR="00A47502" w:rsidRPr="00C66203" w:rsidTr="00A47502">
        <w:tc>
          <w:tcPr>
            <w:tcW w:w="2268" w:type="dxa"/>
          </w:tcPr>
          <w:p w:rsidR="00A47502" w:rsidRPr="0018202F" w:rsidRDefault="00A47502" w:rsidP="00A47502">
            <w:pPr>
              <w:rPr>
                <w:sz w:val="20"/>
                <w:szCs w:val="20"/>
              </w:rPr>
            </w:pPr>
            <w:r w:rsidRPr="0018202F">
              <w:rPr>
                <w:sz w:val="20"/>
                <w:szCs w:val="20"/>
              </w:rPr>
              <w:t>Скопје</w:t>
            </w:r>
          </w:p>
        </w:tc>
        <w:tc>
          <w:tcPr>
            <w:tcW w:w="810" w:type="dxa"/>
            <w:vAlign w:val="center"/>
          </w:tcPr>
          <w:p w:rsidR="00A47502" w:rsidRPr="0018202F" w:rsidRDefault="00A47502" w:rsidP="00A47502">
            <w:pPr>
              <w:jc w:val="center"/>
              <w:rPr>
                <w:sz w:val="20"/>
                <w:szCs w:val="20"/>
              </w:rPr>
            </w:pPr>
            <w:r w:rsidRPr="0018202F">
              <w:rPr>
                <w:sz w:val="20"/>
                <w:szCs w:val="20"/>
              </w:rPr>
              <w:t>927</w:t>
            </w:r>
          </w:p>
        </w:tc>
        <w:tc>
          <w:tcPr>
            <w:tcW w:w="990" w:type="dxa"/>
            <w:vAlign w:val="center"/>
          </w:tcPr>
          <w:p w:rsidR="00A47502" w:rsidRPr="0018202F" w:rsidRDefault="00A47502" w:rsidP="00A47502">
            <w:pPr>
              <w:jc w:val="center"/>
              <w:rPr>
                <w:sz w:val="20"/>
                <w:szCs w:val="20"/>
              </w:rPr>
            </w:pPr>
            <w:r w:rsidRPr="0018202F">
              <w:rPr>
                <w:sz w:val="20"/>
                <w:szCs w:val="20"/>
              </w:rPr>
              <w:t>19.56</w:t>
            </w:r>
          </w:p>
        </w:tc>
        <w:tc>
          <w:tcPr>
            <w:tcW w:w="900" w:type="dxa"/>
            <w:vAlign w:val="center"/>
          </w:tcPr>
          <w:p w:rsidR="00A47502" w:rsidRPr="0018202F" w:rsidRDefault="00A47502" w:rsidP="00A47502">
            <w:pPr>
              <w:jc w:val="center"/>
              <w:rPr>
                <w:sz w:val="20"/>
                <w:szCs w:val="20"/>
              </w:rPr>
            </w:pPr>
            <w:r w:rsidRPr="0018202F">
              <w:rPr>
                <w:sz w:val="20"/>
                <w:szCs w:val="20"/>
              </w:rPr>
              <w:t>34104</w:t>
            </w:r>
          </w:p>
        </w:tc>
        <w:tc>
          <w:tcPr>
            <w:tcW w:w="720" w:type="dxa"/>
            <w:vAlign w:val="center"/>
          </w:tcPr>
          <w:p w:rsidR="00A47502" w:rsidRPr="0018202F" w:rsidRDefault="00A47502" w:rsidP="00A47502">
            <w:pPr>
              <w:jc w:val="center"/>
              <w:rPr>
                <w:sz w:val="20"/>
                <w:szCs w:val="20"/>
              </w:rPr>
            </w:pPr>
            <w:r w:rsidRPr="0018202F">
              <w:rPr>
                <w:sz w:val="20"/>
                <w:szCs w:val="20"/>
              </w:rPr>
              <w:t>17.72</w:t>
            </w:r>
          </w:p>
        </w:tc>
        <w:tc>
          <w:tcPr>
            <w:tcW w:w="810" w:type="dxa"/>
            <w:vAlign w:val="center"/>
          </w:tcPr>
          <w:p w:rsidR="00A47502" w:rsidRPr="0018202F" w:rsidRDefault="00A47502" w:rsidP="00A47502">
            <w:pPr>
              <w:jc w:val="center"/>
              <w:rPr>
                <w:sz w:val="20"/>
                <w:szCs w:val="20"/>
              </w:rPr>
            </w:pPr>
            <w:r w:rsidRPr="0018202F">
              <w:rPr>
                <w:sz w:val="20"/>
                <w:szCs w:val="20"/>
              </w:rPr>
              <w:t>4526</w:t>
            </w:r>
          </w:p>
        </w:tc>
        <w:tc>
          <w:tcPr>
            <w:tcW w:w="990" w:type="dxa"/>
            <w:vAlign w:val="center"/>
          </w:tcPr>
          <w:p w:rsidR="00A47502" w:rsidRPr="0018202F" w:rsidRDefault="00A47502" w:rsidP="00A47502">
            <w:pPr>
              <w:jc w:val="center"/>
              <w:rPr>
                <w:sz w:val="20"/>
                <w:szCs w:val="20"/>
              </w:rPr>
            </w:pPr>
            <w:r w:rsidRPr="0018202F">
              <w:rPr>
                <w:sz w:val="20"/>
                <w:szCs w:val="20"/>
              </w:rPr>
              <w:t>27.91</w:t>
            </w:r>
          </w:p>
        </w:tc>
      </w:tr>
      <w:tr w:rsidR="00A47502" w:rsidRPr="00C66203" w:rsidTr="00A47502">
        <w:tc>
          <w:tcPr>
            <w:tcW w:w="2268" w:type="dxa"/>
          </w:tcPr>
          <w:p w:rsidR="00A47502" w:rsidRPr="0018202F" w:rsidRDefault="00A47502" w:rsidP="00A47502">
            <w:pPr>
              <w:rPr>
                <w:sz w:val="20"/>
                <w:szCs w:val="20"/>
              </w:rPr>
            </w:pPr>
            <w:r w:rsidRPr="0018202F">
              <w:rPr>
                <w:sz w:val="20"/>
                <w:szCs w:val="20"/>
              </w:rPr>
              <w:t>Тетово</w:t>
            </w:r>
          </w:p>
        </w:tc>
        <w:tc>
          <w:tcPr>
            <w:tcW w:w="810" w:type="dxa"/>
            <w:vAlign w:val="center"/>
          </w:tcPr>
          <w:p w:rsidR="00A47502" w:rsidRPr="0018202F" w:rsidRDefault="00A47502" w:rsidP="00A47502">
            <w:pPr>
              <w:jc w:val="center"/>
              <w:rPr>
                <w:sz w:val="20"/>
                <w:szCs w:val="20"/>
              </w:rPr>
            </w:pPr>
            <w:r w:rsidRPr="0018202F">
              <w:rPr>
                <w:sz w:val="20"/>
                <w:szCs w:val="20"/>
              </w:rPr>
              <w:t>412</w:t>
            </w:r>
          </w:p>
        </w:tc>
        <w:tc>
          <w:tcPr>
            <w:tcW w:w="990" w:type="dxa"/>
            <w:vAlign w:val="center"/>
          </w:tcPr>
          <w:p w:rsidR="00A47502" w:rsidRPr="0018202F" w:rsidRDefault="00A47502" w:rsidP="00A47502">
            <w:pPr>
              <w:jc w:val="center"/>
              <w:rPr>
                <w:sz w:val="20"/>
                <w:szCs w:val="20"/>
              </w:rPr>
            </w:pPr>
            <w:r w:rsidRPr="0018202F">
              <w:rPr>
                <w:sz w:val="20"/>
                <w:szCs w:val="20"/>
              </w:rPr>
              <w:t>8.69</w:t>
            </w:r>
          </w:p>
        </w:tc>
        <w:tc>
          <w:tcPr>
            <w:tcW w:w="900" w:type="dxa"/>
            <w:vAlign w:val="center"/>
          </w:tcPr>
          <w:p w:rsidR="00A47502" w:rsidRPr="0018202F" w:rsidRDefault="00A47502" w:rsidP="00A47502">
            <w:pPr>
              <w:jc w:val="center"/>
              <w:rPr>
                <w:sz w:val="20"/>
                <w:szCs w:val="20"/>
              </w:rPr>
            </w:pPr>
            <w:r w:rsidRPr="0018202F">
              <w:rPr>
                <w:sz w:val="20"/>
                <w:szCs w:val="20"/>
              </w:rPr>
              <w:t>12379</w:t>
            </w:r>
          </w:p>
        </w:tc>
        <w:tc>
          <w:tcPr>
            <w:tcW w:w="720" w:type="dxa"/>
            <w:vAlign w:val="center"/>
          </w:tcPr>
          <w:p w:rsidR="00A47502" w:rsidRPr="0018202F" w:rsidRDefault="00A47502" w:rsidP="00A47502">
            <w:pPr>
              <w:jc w:val="center"/>
              <w:rPr>
                <w:sz w:val="20"/>
                <w:szCs w:val="20"/>
              </w:rPr>
            </w:pPr>
            <w:r w:rsidRPr="0018202F">
              <w:rPr>
                <w:sz w:val="20"/>
                <w:szCs w:val="20"/>
              </w:rPr>
              <w:t>6.43</w:t>
            </w:r>
          </w:p>
        </w:tc>
        <w:tc>
          <w:tcPr>
            <w:tcW w:w="810" w:type="dxa"/>
            <w:vAlign w:val="center"/>
          </w:tcPr>
          <w:p w:rsidR="00A47502" w:rsidRPr="0018202F" w:rsidRDefault="00A47502" w:rsidP="00A47502">
            <w:pPr>
              <w:jc w:val="center"/>
              <w:rPr>
                <w:sz w:val="20"/>
                <w:szCs w:val="20"/>
              </w:rPr>
            </w:pPr>
            <w:r w:rsidRPr="0018202F">
              <w:rPr>
                <w:sz w:val="20"/>
                <w:szCs w:val="20"/>
              </w:rPr>
              <w:t>1109</w:t>
            </w:r>
          </w:p>
        </w:tc>
        <w:tc>
          <w:tcPr>
            <w:tcW w:w="990" w:type="dxa"/>
            <w:vAlign w:val="center"/>
          </w:tcPr>
          <w:p w:rsidR="00A47502" w:rsidRPr="0018202F" w:rsidRDefault="00A47502" w:rsidP="00A47502">
            <w:pPr>
              <w:jc w:val="center"/>
              <w:rPr>
                <w:sz w:val="20"/>
                <w:szCs w:val="20"/>
              </w:rPr>
            </w:pPr>
            <w:r w:rsidRPr="0018202F">
              <w:rPr>
                <w:sz w:val="20"/>
                <w:szCs w:val="20"/>
              </w:rPr>
              <w:t>6.94</w:t>
            </w:r>
          </w:p>
        </w:tc>
      </w:tr>
      <w:tr w:rsidR="00A47502" w:rsidRPr="00C66203" w:rsidTr="00A47502">
        <w:tc>
          <w:tcPr>
            <w:tcW w:w="2268" w:type="dxa"/>
          </w:tcPr>
          <w:p w:rsidR="00A47502" w:rsidRPr="0018202F" w:rsidRDefault="00A47502" w:rsidP="00A47502">
            <w:pPr>
              <w:rPr>
                <w:sz w:val="20"/>
                <w:szCs w:val="20"/>
              </w:rPr>
            </w:pPr>
            <w:r w:rsidRPr="0018202F">
              <w:rPr>
                <w:sz w:val="20"/>
                <w:szCs w:val="20"/>
              </w:rPr>
              <w:t>Битола</w:t>
            </w:r>
          </w:p>
        </w:tc>
        <w:tc>
          <w:tcPr>
            <w:tcW w:w="810" w:type="dxa"/>
            <w:vAlign w:val="center"/>
          </w:tcPr>
          <w:p w:rsidR="00A47502" w:rsidRPr="0018202F" w:rsidRDefault="00A47502" w:rsidP="00A47502">
            <w:pPr>
              <w:jc w:val="center"/>
              <w:rPr>
                <w:sz w:val="20"/>
                <w:szCs w:val="20"/>
              </w:rPr>
            </w:pPr>
            <w:r w:rsidRPr="0018202F">
              <w:rPr>
                <w:sz w:val="20"/>
                <w:szCs w:val="20"/>
              </w:rPr>
              <w:t>256</w:t>
            </w:r>
          </w:p>
        </w:tc>
        <w:tc>
          <w:tcPr>
            <w:tcW w:w="990" w:type="dxa"/>
            <w:vAlign w:val="center"/>
          </w:tcPr>
          <w:p w:rsidR="00A47502" w:rsidRPr="0018202F" w:rsidRDefault="00A47502" w:rsidP="00A47502">
            <w:pPr>
              <w:jc w:val="center"/>
              <w:rPr>
                <w:sz w:val="20"/>
                <w:szCs w:val="20"/>
              </w:rPr>
            </w:pPr>
            <w:r w:rsidRPr="0018202F">
              <w:rPr>
                <w:sz w:val="20"/>
                <w:szCs w:val="20"/>
              </w:rPr>
              <w:t>5.40</w:t>
            </w:r>
          </w:p>
        </w:tc>
        <w:tc>
          <w:tcPr>
            <w:tcW w:w="900" w:type="dxa"/>
            <w:vAlign w:val="center"/>
          </w:tcPr>
          <w:p w:rsidR="00A47502" w:rsidRPr="0018202F" w:rsidRDefault="00A47502" w:rsidP="00A47502">
            <w:pPr>
              <w:jc w:val="center"/>
              <w:rPr>
                <w:sz w:val="20"/>
                <w:szCs w:val="20"/>
              </w:rPr>
            </w:pPr>
            <w:r w:rsidRPr="0018202F">
              <w:rPr>
                <w:sz w:val="20"/>
                <w:szCs w:val="20"/>
              </w:rPr>
              <w:t>10153</w:t>
            </w:r>
          </w:p>
        </w:tc>
        <w:tc>
          <w:tcPr>
            <w:tcW w:w="720" w:type="dxa"/>
            <w:vAlign w:val="center"/>
          </w:tcPr>
          <w:p w:rsidR="00A47502" w:rsidRPr="0018202F" w:rsidRDefault="00A47502" w:rsidP="00A47502">
            <w:pPr>
              <w:jc w:val="center"/>
              <w:rPr>
                <w:sz w:val="20"/>
                <w:szCs w:val="20"/>
              </w:rPr>
            </w:pPr>
            <w:r w:rsidRPr="0018202F">
              <w:rPr>
                <w:sz w:val="20"/>
                <w:szCs w:val="20"/>
              </w:rPr>
              <w:t>5.28</w:t>
            </w:r>
          </w:p>
        </w:tc>
        <w:tc>
          <w:tcPr>
            <w:tcW w:w="810" w:type="dxa"/>
            <w:vAlign w:val="center"/>
          </w:tcPr>
          <w:p w:rsidR="00A47502" w:rsidRPr="0018202F" w:rsidRDefault="00A47502" w:rsidP="00A47502">
            <w:pPr>
              <w:jc w:val="center"/>
              <w:rPr>
                <w:sz w:val="20"/>
                <w:szCs w:val="20"/>
              </w:rPr>
            </w:pPr>
            <w:r w:rsidRPr="0018202F">
              <w:rPr>
                <w:sz w:val="20"/>
                <w:szCs w:val="20"/>
              </w:rPr>
              <w:t>1061</w:t>
            </w:r>
          </w:p>
        </w:tc>
        <w:tc>
          <w:tcPr>
            <w:tcW w:w="990" w:type="dxa"/>
            <w:vAlign w:val="center"/>
          </w:tcPr>
          <w:p w:rsidR="00A47502" w:rsidRPr="0018202F" w:rsidRDefault="00A47502" w:rsidP="00A47502">
            <w:pPr>
              <w:jc w:val="center"/>
              <w:rPr>
                <w:sz w:val="20"/>
                <w:szCs w:val="20"/>
              </w:rPr>
            </w:pPr>
            <w:r w:rsidRPr="0018202F">
              <w:rPr>
                <w:sz w:val="20"/>
                <w:szCs w:val="20"/>
              </w:rPr>
              <w:t>6.54</w:t>
            </w:r>
          </w:p>
        </w:tc>
      </w:tr>
      <w:tr w:rsidR="00A47502" w:rsidRPr="00C66203" w:rsidTr="00A47502">
        <w:tc>
          <w:tcPr>
            <w:tcW w:w="2268" w:type="dxa"/>
          </w:tcPr>
          <w:p w:rsidR="00A47502" w:rsidRPr="0018202F" w:rsidRDefault="00A47502" w:rsidP="00A47502">
            <w:pPr>
              <w:rPr>
                <w:sz w:val="20"/>
                <w:szCs w:val="20"/>
              </w:rPr>
            </w:pPr>
            <w:r w:rsidRPr="0018202F">
              <w:rPr>
                <w:sz w:val="20"/>
                <w:szCs w:val="20"/>
              </w:rPr>
              <w:t>Струга</w:t>
            </w:r>
          </w:p>
        </w:tc>
        <w:tc>
          <w:tcPr>
            <w:tcW w:w="810" w:type="dxa"/>
            <w:vAlign w:val="center"/>
          </w:tcPr>
          <w:p w:rsidR="00A47502" w:rsidRPr="0018202F" w:rsidRDefault="00A47502" w:rsidP="00A47502">
            <w:pPr>
              <w:jc w:val="center"/>
              <w:rPr>
                <w:sz w:val="20"/>
                <w:szCs w:val="20"/>
              </w:rPr>
            </w:pPr>
            <w:r w:rsidRPr="0018202F">
              <w:rPr>
                <w:sz w:val="20"/>
                <w:szCs w:val="20"/>
              </w:rPr>
              <w:t>205</w:t>
            </w:r>
          </w:p>
        </w:tc>
        <w:tc>
          <w:tcPr>
            <w:tcW w:w="990" w:type="dxa"/>
            <w:vAlign w:val="center"/>
          </w:tcPr>
          <w:p w:rsidR="00A47502" w:rsidRPr="0018202F" w:rsidRDefault="00A47502" w:rsidP="00A47502">
            <w:pPr>
              <w:jc w:val="center"/>
              <w:rPr>
                <w:sz w:val="20"/>
                <w:szCs w:val="20"/>
              </w:rPr>
            </w:pPr>
            <w:r w:rsidRPr="0018202F">
              <w:rPr>
                <w:sz w:val="20"/>
                <w:szCs w:val="20"/>
              </w:rPr>
              <w:t>4.32</w:t>
            </w:r>
          </w:p>
        </w:tc>
        <w:tc>
          <w:tcPr>
            <w:tcW w:w="900" w:type="dxa"/>
            <w:vAlign w:val="center"/>
          </w:tcPr>
          <w:p w:rsidR="00A47502" w:rsidRPr="0018202F" w:rsidRDefault="00A47502" w:rsidP="00A47502">
            <w:pPr>
              <w:jc w:val="center"/>
              <w:rPr>
                <w:sz w:val="20"/>
                <w:szCs w:val="20"/>
              </w:rPr>
            </w:pPr>
            <w:r w:rsidRPr="0018202F">
              <w:rPr>
                <w:sz w:val="20"/>
                <w:szCs w:val="20"/>
              </w:rPr>
              <w:t>8207</w:t>
            </w:r>
          </w:p>
        </w:tc>
        <w:tc>
          <w:tcPr>
            <w:tcW w:w="720" w:type="dxa"/>
            <w:vAlign w:val="center"/>
          </w:tcPr>
          <w:p w:rsidR="00A47502" w:rsidRPr="0018202F" w:rsidRDefault="00A47502" w:rsidP="00A47502">
            <w:pPr>
              <w:jc w:val="center"/>
              <w:rPr>
                <w:sz w:val="20"/>
                <w:szCs w:val="20"/>
              </w:rPr>
            </w:pPr>
            <w:r w:rsidRPr="0018202F">
              <w:rPr>
                <w:sz w:val="20"/>
                <w:szCs w:val="20"/>
              </w:rPr>
              <w:t>4.26</w:t>
            </w:r>
          </w:p>
        </w:tc>
        <w:tc>
          <w:tcPr>
            <w:tcW w:w="810" w:type="dxa"/>
            <w:vAlign w:val="center"/>
          </w:tcPr>
          <w:p w:rsidR="00A47502" w:rsidRPr="0018202F" w:rsidRDefault="00A47502" w:rsidP="00A47502">
            <w:pPr>
              <w:jc w:val="center"/>
              <w:rPr>
                <w:sz w:val="20"/>
                <w:szCs w:val="20"/>
              </w:rPr>
            </w:pPr>
            <w:r w:rsidRPr="0018202F">
              <w:rPr>
                <w:sz w:val="20"/>
                <w:szCs w:val="20"/>
              </w:rPr>
              <w:t>591</w:t>
            </w:r>
          </w:p>
        </w:tc>
        <w:tc>
          <w:tcPr>
            <w:tcW w:w="990" w:type="dxa"/>
            <w:vAlign w:val="center"/>
          </w:tcPr>
          <w:p w:rsidR="00A47502" w:rsidRPr="0018202F" w:rsidRDefault="00A47502" w:rsidP="00A47502">
            <w:pPr>
              <w:jc w:val="center"/>
              <w:rPr>
                <w:sz w:val="20"/>
                <w:szCs w:val="20"/>
              </w:rPr>
            </w:pPr>
            <w:r w:rsidRPr="0018202F">
              <w:rPr>
                <w:sz w:val="20"/>
                <w:szCs w:val="20"/>
              </w:rPr>
              <w:t>3.46</w:t>
            </w:r>
          </w:p>
        </w:tc>
      </w:tr>
      <w:tr w:rsidR="00A47502" w:rsidRPr="00C66203" w:rsidTr="00A47502">
        <w:tc>
          <w:tcPr>
            <w:tcW w:w="2268" w:type="dxa"/>
          </w:tcPr>
          <w:p w:rsidR="00A47502" w:rsidRPr="0018202F" w:rsidRDefault="00A47502" w:rsidP="00A47502">
            <w:pPr>
              <w:rPr>
                <w:sz w:val="20"/>
                <w:szCs w:val="20"/>
              </w:rPr>
            </w:pPr>
            <w:r w:rsidRPr="0018202F">
              <w:rPr>
                <w:sz w:val="20"/>
                <w:szCs w:val="20"/>
              </w:rPr>
              <w:t>Охрид</w:t>
            </w:r>
          </w:p>
        </w:tc>
        <w:tc>
          <w:tcPr>
            <w:tcW w:w="810" w:type="dxa"/>
            <w:vAlign w:val="center"/>
          </w:tcPr>
          <w:p w:rsidR="00A47502" w:rsidRPr="0018202F" w:rsidRDefault="00A47502" w:rsidP="00A47502">
            <w:pPr>
              <w:jc w:val="center"/>
              <w:rPr>
                <w:sz w:val="20"/>
                <w:szCs w:val="20"/>
              </w:rPr>
            </w:pPr>
            <w:r w:rsidRPr="0018202F">
              <w:rPr>
                <w:sz w:val="20"/>
                <w:szCs w:val="20"/>
              </w:rPr>
              <w:t>188</w:t>
            </w:r>
          </w:p>
        </w:tc>
        <w:tc>
          <w:tcPr>
            <w:tcW w:w="990" w:type="dxa"/>
            <w:vAlign w:val="center"/>
          </w:tcPr>
          <w:p w:rsidR="00A47502" w:rsidRPr="0018202F" w:rsidRDefault="00A47502" w:rsidP="00A47502">
            <w:pPr>
              <w:jc w:val="center"/>
              <w:rPr>
                <w:sz w:val="20"/>
                <w:szCs w:val="20"/>
              </w:rPr>
            </w:pPr>
            <w:r w:rsidRPr="0018202F">
              <w:rPr>
                <w:sz w:val="20"/>
                <w:szCs w:val="20"/>
              </w:rPr>
              <w:t>3.97</w:t>
            </w:r>
          </w:p>
        </w:tc>
        <w:tc>
          <w:tcPr>
            <w:tcW w:w="900" w:type="dxa"/>
            <w:vAlign w:val="center"/>
          </w:tcPr>
          <w:p w:rsidR="00A47502" w:rsidRPr="0018202F" w:rsidRDefault="00A47502" w:rsidP="00A47502">
            <w:pPr>
              <w:jc w:val="center"/>
              <w:rPr>
                <w:sz w:val="20"/>
                <w:szCs w:val="20"/>
              </w:rPr>
            </w:pPr>
            <w:r w:rsidRPr="0018202F">
              <w:rPr>
                <w:sz w:val="20"/>
                <w:szCs w:val="20"/>
              </w:rPr>
              <w:t>7592</w:t>
            </w:r>
          </w:p>
        </w:tc>
        <w:tc>
          <w:tcPr>
            <w:tcW w:w="720" w:type="dxa"/>
            <w:vAlign w:val="center"/>
          </w:tcPr>
          <w:p w:rsidR="00A47502" w:rsidRPr="0018202F" w:rsidRDefault="00A47502" w:rsidP="00A47502">
            <w:pPr>
              <w:jc w:val="center"/>
              <w:rPr>
                <w:sz w:val="20"/>
                <w:szCs w:val="20"/>
              </w:rPr>
            </w:pPr>
            <w:r w:rsidRPr="0018202F">
              <w:rPr>
                <w:sz w:val="20"/>
                <w:szCs w:val="20"/>
              </w:rPr>
              <w:t>3.94</w:t>
            </w:r>
          </w:p>
        </w:tc>
        <w:tc>
          <w:tcPr>
            <w:tcW w:w="810" w:type="dxa"/>
            <w:vAlign w:val="center"/>
          </w:tcPr>
          <w:p w:rsidR="00A47502" w:rsidRPr="0018202F" w:rsidRDefault="00A47502" w:rsidP="00A47502">
            <w:pPr>
              <w:jc w:val="center"/>
              <w:rPr>
                <w:sz w:val="20"/>
                <w:szCs w:val="20"/>
              </w:rPr>
            </w:pPr>
            <w:r w:rsidRPr="0018202F">
              <w:rPr>
                <w:sz w:val="20"/>
                <w:szCs w:val="20"/>
              </w:rPr>
              <w:t>906</w:t>
            </w:r>
          </w:p>
        </w:tc>
        <w:tc>
          <w:tcPr>
            <w:tcW w:w="990" w:type="dxa"/>
            <w:vAlign w:val="center"/>
          </w:tcPr>
          <w:p w:rsidR="00A47502" w:rsidRPr="0018202F" w:rsidRDefault="00A47502" w:rsidP="00A47502">
            <w:pPr>
              <w:jc w:val="center"/>
              <w:rPr>
                <w:sz w:val="20"/>
                <w:szCs w:val="20"/>
              </w:rPr>
            </w:pPr>
            <w:r w:rsidRPr="0018202F">
              <w:rPr>
                <w:sz w:val="20"/>
                <w:szCs w:val="20"/>
              </w:rPr>
              <w:t>5.59</w:t>
            </w:r>
          </w:p>
        </w:tc>
      </w:tr>
      <w:tr w:rsidR="00A47502" w:rsidRPr="00C66203" w:rsidTr="00A47502">
        <w:tc>
          <w:tcPr>
            <w:tcW w:w="2268" w:type="dxa"/>
          </w:tcPr>
          <w:p w:rsidR="00A47502" w:rsidRPr="0018202F" w:rsidRDefault="00A47502" w:rsidP="00A47502">
            <w:pPr>
              <w:rPr>
                <w:sz w:val="20"/>
                <w:szCs w:val="20"/>
              </w:rPr>
            </w:pPr>
            <w:r w:rsidRPr="0018202F">
              <w:rPr>
                <w:sz w:val="20"/>
                <w:szCs w:val="20"/>
              </w:rPr>
              <w:t xml:space="preserve">Гевгелија </w:t>
            </w:r>
          </w:p>
        </w:tc>
        <w:tc>
          <w:tcPr>
            <w:tcW w:w="810" w:type="dxa"/>
            <w:vAlign w:val="center"/>
          </w:tcPr>
          <w:p w:rsidR="00A47502" w:rsidRPr="0018202F" w:rsidRDefault="00A47502" w:rsidP="00A47502">
            <w:pPr>
              <w:jc w:val="center"/>
              <w:rPr>
                <w:sz w:val="20"/>
                <w:szCs w:val="20"/>
              </w:rPr>
            </w:pPr>
            <w:r w:rsidRPr="0018202F">
              <w:rPr>
                <w:sz w:val="20"/>
                <w:szCs w:val="20"/>
              </w:rPr>
              <w:t>96</w:t>
            </w:r>
          </w:p>
        </w:tc>
        <w:tc>
          <w:tcPr>
            <w:tcW w:w="990" w:type="dxa"/>
            <w:vAlign w:val="center"/>
          </w:tcPr>
          <w:p w:rsidR="00A47502" w:rsidRPr="0018202F" w:rsidRDefault="00A47502" w:rsidP="00A47502">
            <w:pPr>
              <w:jc w:val="center"/>
              <w:rPr>
                <w:sz w:val="20"/>
                <w:szCs w:val="20"/>
              </w:rPr>
            </w:pPr>
            <w:r w:rsidRPr="0018202F">
              <w:rPr>
                <w:sz w:val="20"/>
                <w:szCs w:val="20"/>
              </w:rPr>
              <w:t>2.03</w:t>
            </w:r>
          </w:p>
        </w:tc>
        <w:tc>
          <w:tcPr>
            <w:tcW w:w="900" w:type="dxa"/>
            <w:vAlign w:val="center"/>
          </w:tcPr>
          <w:p w:rsidR="00A47502" w:rsidRPr="0018202F" w:rsidRDefault="00A47502" w:rsidP="00A47502">
            <w:pPr>
              <w:jc w:val="center"/>
              <w:rPr>
                <w:sz w:val="20"/>
                <w:szCs w:val="20"/>
              </w:rPr>
            </w:pPr>
            <w:r w:rsidRPr="0018202F">
              <w:rPr>
                <w:sz w:val="20"/>
                <w:szCs w:val="20"/>
              </w:rPr>
              <w:t>3794</w:t>
            </w:r>
          </w:p>
        </w:tc>
        <w:tc>
          <w:tcPr>
            <w:tcW w:w="720" w:type="dxa"/>
            <w:vAlign w:val="center"/>
          </w:tcPr>
          <w:p w:rsidR="00A47502" w:rsidRPr="0018202F" w:rsidRDefault="00A47502" w:rsidP="00A47502">
            <w:pPr>
              <w:jc w:val="center"/>
              <w:rPr>
                <w:sz w:val="20"/>
                <w:szCs w:val="20"/>
              </w:rPr>
            </w:pPr>
            <w:r w:rsidRPr="0018202F">
              <w:rPr>
                <w:sz w:val="20"/>
                <w:szCs w:val="20"/>
              </w:rPr>
              <w:t>1.97</w:t>
            </w:r>
          </w:p>
        </w:tc>
        <w:tc>
          <w:tcPr>
            <w:tcW w:w="810" w:type="dxa"/>
            <w:vAlign w:val="center"/>
          </w:tcPr>
          <w:p w:rsidR="00A47502" w:rsidRPr="0018202F" w:rsidRDefault="00A47502" w:rsidP="00A47502">
            <w:pPr>
              <w:jc w:val="center"/>
              <w:rPr>
                <w:sz w:val="20"/>
                <w:szCs w:val="20"/>
              </w:rPr>
            </w:pPr>
            <w:r w:rsidRPr="0018202F">
              <w:rPr>
                <w:sz w:val="20"/>
                <w:szCs w:val="20"/>
              </w:rPr>
              <w:t>376</w:t>
            </w:r>
          </w:p>
        </w:tc>
        <w:tc>
          <w:tcPr>
            <w:tcW w:w="990" w:type="dxa"/>
            <w:vAlign w:val="center"/>
          </w:tcPr>
          <w:p w:rsidR="00A47502" w:rsidRPr="0018202F" w:rsidRDefault="00A47502" w:rsidP="00A47502">
            <w:pPr>
              <w:jc w:val="center"/>
              <w:rPr>
                <w:sz w:val="20"/>
                <w:szCs w:val="20"/>
              </w:rPr>
            </w:pPr>
            <w:r w:rsidRPr="0018202F">
              <w:rPr>
                <w:sz w:val="20"/>
                <w:szCs w:val="20"/>
              </w:rPr>
              <w:t>2.32</w:t>
            </w:r>
          </w:p>
        </w:tc>
      </w:tr>
      <w:tr w:rsidR="00A47502" w:rsidRPr="00C66203" w:rsidTr="00A47502">
        <w:tc>
          <w:tcPr>
            <w:tcW w:w="2268" w:type="dxa"/>
          </w:tcPr>
          <w:p w:rsidR="00A47502" w:rsidRPr="0018202F" w:rsidRDefault="00A47502" w:rsidP="00A47502">
            <w:pPr>
              <w:rPr>
                <w:sz w:val="20"/>
                <w:szCs w:val="20"/>
              </w:rPr>
            </w:pPr>
            <w:r w:rsidRPr="0018202F">
              <w:rPr>
                <w:sz w:val="20"/>
                <w:szCs w:val="20"/>
              </w:rPr>
              <w:t>Ресен</w:t>
            </w:r>
          </w:p>
        </w:tc>
        <w:tc>
          <w:tcPr>
            <w:tcW w:w="810" w:type="dxa"/>
            <w:vAlign w:val="center"/>
          </w:tcPr>
          <w:p w:rsidR="00A47502" w:rsidRPr="0018202F" w:rsidRDefault="00A47502" w:rsidP="00A47502">
            <w:pPr>
              <w:jc w:val="center"/>
              <w:rPr>
                <w:sz w:val="20"/>
                <w:szCs w:val="20"/>
              </w:rPr>
            </w:pPr>
            <w:r w:rsidRPr="0018202F">
              <w:rPr>
                <w:sz w:val="20"/>
                <w:szCs w:val="20"/>
              </w:rPr>
              <w:t>49</w:t>
            </w:r>
          </w:p>
        </w:tc>
        <w:tc>
          <w:tcPr>
            <w:tcW w:w="990" w:type="dxa"/>
            <w:vAlign w:val="center"/>
          </w:tcPr>
          <w:p w:rsidR="00A47502" w:rsidRPr="0018202F" w:rsidRDefault="00A47502" w:rsidP="00A47502">
            <w:pPr>
              <w:jc w:val="center"/>
              <w:rPr>
                <w:sz w:val="20"/>
                <w:szCs w:val="20"/>
              </w:rPr>
            </w:pPr>
            <w:r w:rsidRPr="0018202F">
              <w:rPr>
                <w:sz w:val="20"/>
                <w:szCs w:val="20"/>
              </w:rPr>
              <w:t>1.03</w:t>
            </w:r>
          </w:p>
        </w:tc>
        <w:tc>
          <w:tcPr>
            <w:tcW w:w="900" w:type="dxa"/>
            <w:vAlign w:val="center"/>
          </w:tcPr>
          <w:p w:rsidR="00A47502" w:rsidRPr="0018202F" w:rsidRDefault="00A47502" w:rsidP="00A47502">
            <w:pPr>
              <w:jc w:val="center"/>
              <w:rPr>
                <w:sz w:val="20"/>
                <w:szCs w:val="20"/>
              </w:rPr>
            </w:pPr>
            <w:r w:rsidRPr="0018202F">
              <w:rPr>
                <w:sz w:val="20"/>
                <w:szCs w:val="20"/>
              </w:rPr>
              <w:t>3326</w:t>
            </w:r>
          </w:p>
        </w:tc>
        <w:tc>
          <w:tcPr>
            <w:tcW w:w="720" w:type="dxa"/>
            <w:vAlign w:val="center"/>
          </w:tcPr>
          <w:p w:rsidR="00A47502" w:rsidRPr="0018202F" w:rsidRDefault="00A47502" w:rsidP="00A47502">
            <w:pPr>
              <w:jc w:val="center"/>
              <w:rPr>
                <w:sz w:val="20"/>
                <w:szCs w:val="20"/>
              </w:rPr>
            </w:pPr>
            <w:r w:rsidRPr="0018202F">
              <w:rPr>
                <w:sz w:val="20"/>
                <w:szCs w:val="20"/>
              </w:rPr>
              <w:t>1.73</w:t>
            </w:r>
          </w:p>
        </w:tc>
        <w:tc>
          <w:tcPr>
            <w:tcW w:w="810" w:type="dxa"/>
            <w:vAlign w:val="center"/>
          </w:tcPr>
          <w:p w:rsidR="00A47502" w:rsidRPr="0018202F" w:rsidRDefault="00A47502" w:rsidP="00A47502">
            <w:pPr>
              <w:jc w:val="center"/>
              <w:rPr>
                <w:sz w:val="20"/>
                <w:szCs w:val="20"/>
              </w:rPr>
            </w:pPr>
            <w:r w:rsidRPr="0018202F">
              <w:rPr>
                <w:sz w:val="20"/>
                <w:szCs w:val="20"/>
              </w:rPr>
              <w:t>149</w:t>
            </w:r>
          </w:p>
        </w:tc>
        <w:tc>
          <w:tcPr>
            <w:tcW w:w="990" w:type="dxa"/>
            <w:vAlign w:val="center"/>
          </w:tcPr>
          <w:p w:rsidR="00A47502" w:rsidRPr="0018202F" w:rsidRDefault="00A47502" w:rsidP="00A47502">
            <w:pPr>
              <w:jc w:val="center"/>
              <w:rPr>
                <w:sz w:val="20"/>
                <w:szCs w:val="20"/>
              </w:rPr>
            </w:pPr>
            <w:r w:rsidRPr="0018202F">
              <w:rPr>
                <w:sz w:val="20"/>
                <w:szCs w:val="20"/>
              </w:rPr>
              <w:t>0.92</w:t>
            </w:r>
          </w:p>
        </w:tc>
      </w:tr>
      <w:tr w:rsidR="00A47502" w:rsidRPr="00C66203" w:rsidTr="00A47502">
        <w:tc>
          <w:tcPr>
            <w:tcW w:w="2268" w:type="dxa"/>
            <w:shd w:val="clear" w:color="auto" w:fill="FFFF00"/>
          </w:tcPr>
          <w:p w:rsidR="00A47502" w:rsidRPr="0018202F" w:rsidRDefault="00A47502" w:rsidP="00A47502">
            <w:pPr>
              <w:rPr>
                <w:sz w:val="20"/>
                <w:szCs w:val="20"/>
              </w:rPr>
            </w:pPr>
            <w:r w:rsidRPr="0018202F">
              <w:rPr>
                <w:sz w:val="20"/>
                <w:szCs w:val="20"/>
              </w:rPr>
              <w:t>Дојран</w:t>
            </w:r>
          </w:p>
        </w:tc>
        <w:tc>
          <w:tcPr>
            <w:tcW w:w="810" w:type="dxa"/>
            <w:shd w:val="clear" w:color="auto" w:fill="FFFF00"/>
            <w:vAlign w:val="center"/>
          </w:tcPr>
          <w:p w:rsidR="00A47502" w:rsidRPr="0018202F" w:rsidRDefault="00A47502" w:rsidP="00A47502">
            <w:pPr>
              <w:jc w:val="center"/>
              <w:rPr>
                <w:sz w:val="20"/>
                <w:szCs w:val="20"/>
              </w:rPr>
            </w:pPr>
            <w:r w:rsidRPr="0018202F">
              <w:rPr>
                <w:sz w:val="20"/>
                <w:szCs w:val="20"/>
              </w:rPr>
              <w:t>23</w:t>
            </w:r>
          </w:p>
        </w:tc>
        <w:tc>
          <w:tcPr>
            <w:tcW w:w="990" w:type="dxa"/>
            <w:shd w:val="clear" w:color="auto" w:fill="FFFF00"/>
            <w:vAlign w:val="center"/>
          </w:tcPr>
          <w:p w:rsidR="00A47502" w:rsidRPr="0018202F" w:rsidRDefault="00A47502" w:rsidP="00A47502">
            <w:pPr>
              <w:jc w:val="center"/>
              <w:rPr>
                <w:sz w:val="20"/>
                <w:szCs w:val="20"/>
              </w:rPr>
            </w:pPr>
            <w:r w:rsidRPr="0018202F">
              <w:rPr>
                <w:sz w:val="20"/>
                <w:szCs w:val="20"/>
              </w:rPr>
              <w:t>0.49</w:t>
            </w:r>
          </w:p>
        </w:tc>
        <w:tc>
          <w:tcPr>
            <w:tcW w:w="900" w:type="dxa"/>
            <w:shd w:val="clear" w:color="auto" w:fill="FFFF00"/>
            <w:vAlign w:val="center"/>
          </w:tcPr>
          <w:p w:rsidR="00A47502" w:rsidRPr="0018202F" w:rsidRDefault="00A47502" w:rsidP="00A47502">
            <w:pPr>
              <w:jc w:val="center"/>
              <w:rPr>
                <w:sz w:val="20"/>
                <w:szCs w:val="20"/>
              </w:rPr>
            </w:pPr>
            <w:r w:rsidRPr="0018202F">
              <w:rPr>
                <w:sz w:val="20"/>
                <w:szCs w:val="20"/>
              </w:rPr>
              <w:t>1360</w:t>
            </w:r>
          </w:p>
        </w:tc>
        <w:tc>
          <w:tcPr>
            <w:tcW w:w="720" w:type="dxa"/>
            <w:shd w:val="clear" w:color="auto" w:fill="FFFF00"/>
            <w:vAlign w:val="center"/>
          </w:tcPr>
          <w:p w:rsidR="00A47502" w:rsidRPr="0018202F" w:rsidRDefault="00A47502" w:rsidP="00A47502">
            <w:pPr>
              <w:jc w:val="center"/>
              <w:rPr>
                <w:sz w:val="20"/>
                <w:szCs w:val="20"/>
              </w:rPr>
            </w:pPr>
            <w:r w:rsidRPr="0018202F">
              <w:rPr>
                <w:sz w:val="20"/>
                <w:szCs w:val="20"/>
              </w:rPr>
              <w:t>0.71</w:t>
            </w:r>
          </w:p>
        </w:tc>
        <w:tc>
          <w:tcPr>
            <w:tcW w:w="810" w:type="dxa"/>
            <w:shd w:val="clear" w:color="auto" w:fill="FFFF00"/>
            <w:vAlign w:val="center"/>
          </w:tcPr>
          <w:p w:rsidR="00A47502" w:rsidRPr="0018202F" w:rsidRDefault="00A47502" w:rsidP="00A47502">
            <w:pPr>
              <w:jc w:val="center"/>
              <w:rPr>
                <w:sz w:val="20"/>
                <w:szCs w:val="20"/>
              </w:rPr>
            </w:pPr>
            <w:r w:rsidRPr="0018202F">
              <w:rPr>
                <w:sz w:val="20"/>
                <w:szCs w:val="20"/>
              </w:rPr>
              <w:t>69</w:t>
            </w:r>
          </w:p>
        </w:tc>
        <w:tc>
          <w:tcPr>
            <w:tcW w:w="990" w:type="dxa"/>
            <w:shd w:val="clear" w:color="auto" w:fill="FFFF00"/>
            <w:vAlign w:val="center"/>
          </w:tcPr>
          <w:p w:rsidR="00A47502" w:rsidRPr="0018202F" w:rsidRDefault="00A47502" w:rsidP="00A47502">
            <w:pPr>
              <w:jc w:val="center"/>
              <w:rPr>
                <w:sz w:val="20"/>
                <w:szCs w:val="20"/>
              </w:rPr>
            </w:pPr>
            <w:r w:rsidRPr="0018202F">
              <w:rPr>
                <w:sz w:val="20"/>
                <w:szCs w:val="20"/>
              </w:rPr>
              <w:t>0.43</w:t>
            </w:r>
          </w:p>
        </w:tc>
      </w:tr>
      <w:tr w:rsidR="00A47502" w:rsidRPr="00C66203" w:rsidTr="00A47502">
        <w:tc>
          <w:tcPr>
            <w:tcW w:w="2268" w:type="dxa"/>
          </w:tcPr>
          <w:p w:rsidR="00A47502" w:rsidRPr="0018202F" w:rsidRDefault="00A47502" w:rsidP="00A47502">
            <w:pPr>
              <w:rPr>
                <w:sz w:val="20"/>
                <w:szCs w:val="20"/>
              </w:rPr>
            </w:pPr>
            <w:r w:rsidRPr="0018202F">
              <w:rPr>
                <w:sz w:val="20"/>
                <w:szCs w:val="20"/>
              </w:rPr>
              <w:t>Крушево</w:t>
            </w:r>
          </w:p>
        </w:tc>
        <w:tc>
          <w:tcPr>
            <w:tcW w:w="810" w:type="dxa"/>
            <w:vAlign w:val="center"/>
          </w:tcPr>
          <w:p w:rsidR="00A47502" w:rsidRPr="0018202F" w:rsidRDefault="00A47502" w:rsidP="00A47502">
            <w:pPr>
              <w:jc w:val="center"/>
              <w:rPr>
                <w:sz w:val="20"/>
                <w:szCs w:val="20"/>
              </w:rPr>
            </w:pPr>
            <w:r w:rsidRPr="0018202F">
              <w:rPr>
                <w:sz w:val="20"/>
                <w:szCs w:val="20"/>
              </w:rPr>
              <w:t>15</w:t>
            </w:r>
          </w:p>
        </w:tc>
        <w:tc>
          <w:tcPr>
            <w:tcW w:w="990" w:type="dxa"/>
            <w:vAlign w:val="center"/>
          </w:tcPr>
          <w:p w:rsidR="00A47502" w:rsidRPr="0018202F" w:rsidRDefault="00A47502" w:rsidP="00A47502">
            <w:pPr>
              <w:jc w:val="center"/>
              <w:rPr>
                <w:sz w:val="20"/>
                <w:szCs w:val="20"/>
              </w:rPr>
            </w:pPr>
            <w:r w:rsidRPr="0018202F">
              <w:rPr>
                <w:sz w:val="20"/>
                <w:szCs w:val="20"/>
              </w:rPr>
              <w:t>0.32</w:t>
            </w:r>
          </w:p>
        </w:tc>
        <w:tc>
          <w:tcPr>
            <w:tcW w:w="900" w:type="dxa"/>
            <w:vAlign w:val="center"/>
          </w:tcPr>
          <w:p w:rsidR="00A47502" w:rsidRPr="0018202F" w:rsidRDefault="00A47502" w:rsidP="00A47502">
            <w:pPr>
              <w:jc w:val="center"/>
              <w:rPr>
                <w:sz w:val="20"/>
                <w:szCs w:val="20"/>
              </w:rPr>
            </w:pPr>
            <w:r w:rsidRPr="0018202F">
              <w:rPr>
                <w:sz w:val="20"/>
                <w:szCs w:val="20"/>
              </w:rPr>
              <w:t>605</w:t>
            </w:r>
          </w:p>
        </w:tc>
        <w:tc>
          <w:tcPr>
            <w:tcW w:w="720" w:type="dxa"/>
            <w:vAlign w:val="center"/>
          </w:tcPr>
          <w:p w:rsidR="00A47502" w:rsidRPr="0018202F" w:rsidRDefault="00A47502" w:rsidP="00A47502">
            <w:pPr>
              <w:jc w:val="center"/>
              <w:rPr>
                <w:sz w:val="20"/>
                <w:szCs w:val="20"/>
              </w:rPr>
            </w:pPr>
            <w:r w:rsidRPr="0018202F">
              <w:rPr>
                <w:sz w:val="20"/>
                <w:szCs w:val="20"/>
              </w:rPr>
              <w:t>0.31</w:t>
            </w:r>
          </w:p>
        </w:tc>
        <w:tc>
          <w:tcPr>
            <w:tcW w:w="810" w:type="dxa"/>
            <w:vAlign w:val="center"/>
          </w:tcPr>
          <w:p w:rsidR="00A47502" w:rsidRPr="0018202F" w:rsidRDefault="00A47502" w:rsidP="00A47502">
            <w:pPr>
              <w:jc w:val="center"/>
              <w:rPr>
                <w:sz w:val="20"/>
                <w:szCs w:val="20"/>
              </w:rPr>
            </w:pPr>
            <w:r w:rsidRPr="0018202F">
              <w:rPr>
                <w:sz w:val="20"/>
                <w:szCs w:val="20"/>
              </w:rPr>
              <w:t>33</w:t>
            </w:r>
          </w:p>
        </w:tc>
        <w:tc>
          <w:tcPr>
            <w:tcW w:w="990" w:type="dxa"/>
            <w:vAlign w:val="center"/>
          </w:tcPr>
          <w:p w:rsidR="00A47502" w:rsidRPr="0018202F" w:rsidRDefault="00A47502" w:rsidP="00A47502">
            <w:pPr>
              <w:jc w:val="center"/>
              <w:rPr>
                <w:sz w:val="20"/>
                <w:szCs w:val="20"/>
              </w:rPr>
            </w:pPr>
            <w:r w:rsidRPr="0018202F">
              <w:rPr>
                <w:sz w:val="20"/>
                <w:szCs w:val="20"/>
              </w:rPr>
              <w:t>0.20</w:t>
            </w:r>
          </w:p>
        </w:tc>
      </w:tr>
      <w:tr w:rsidR="00A47502" w:rsidRPr="00C66203" w:rsidTr="00A47502">
        <w:tc>
          <w:tcPr>
            <w:tcW w:w="2268" w:type="dxa"/>
          </w:tcPr>
          <w:p w:rsidR="00A47502" w:rsidRPr="0018202F" w:rsidRDefault="00A47502" w:rsidP="00A47502">
            <w:pPr>
              <w:rPr>
                <w:b/>
                <w:i/>
                <w:sz w:val="20"/>
                <w:szCs w:val="20"/>
              </w:rPr>
            </w:pPr>
            <w:r w:rsidRPr="0018202F">
              <w:rPr>
                <w:b/>
                <w:i/>
                <w:sz w:val="20"/>
                <w:szCs w:val="20"/>
              </w:rPr>
              <w:t>Вкупно 9-те општини</w:t>
            </w:r>
          </w:p>
        </w:tc>
        <w:tc>
          <w:tcPr>
            <w:tcW w:w="810" w:type="dxa"/>
            <w:vAlign w:val="center"/>
          </w:tcPr>
          <w:p w:rsidR="00A47502" w:rsidRPr="0018202F" w:rsidRDefault="00A47502" w:rsidP="00A47502">
            <w:pPr>
              <w:jc w:val="center"/>
              <w:rPr>
                <w:b/>
                <w:sz w:val="20"/>
                <w:szCs w:val="20"/>
              </w:rPr>
            </w:pPr>
            <w:r w:rsidRPr="0018202F">
              <w:rPr>
                <w:b/>
                <w:sz w:val="20"/>
                <w:szCs w:val="20"/>
              </w:rPr>
              <w:fldChar w:fldCharType="begin"/>
            </w:r>
            <w:r w:rsidRPr="0018202F">
              <w:rPr>
                <w:b/>
                <w:sz w:val="20"/>
                <w:szCs w:val="20"/>
              </w:rPr>
              <w:instrText xml:space="preserve"> =SUM(ABOVE) </w:instrText>
            </w:r>
            <w:r w:rsidRPr="0018202F">
              <w:rPr>
                <w:b/>
                <w:sz w:val="20"/>
                <w:szCs w:val="20"/>
              </w:rPr>
              <w:fldChar w:fldCharType="separate"/>
            </w:r>
            <w:r w:rsidRPr="0018202F">
              <w:rPr>
                <w:b/>
                <w:sz w:val="20"/>
                <w:szCs w:val="20"/>
              </w:rPr>
              <w:t>2171</w:t>
            </w:r>
            <w:r w:rsidRPr="0018202F">
              <w:rPr>
                <w:b/>
                <w:sz w:val="20"/>
                <w:szCs w:val="20"/>
              </w:rPr>
              <w:fldChar w:fldCharType="end"/>
            </w:r>
          </w:p>
        </w:tc>
        <w:tc>
          <w:tcPr>
            <w:tcW w:w="990" w:type="dxa"/>
            <w:vAlign w:val="center"/>
          </w:tcPr>
          <w:p w:rsidR="00A47502" w:rsidRPr="0018202F" w:rsidRDefault="00A47502" w:rsidP="00A47502">
            <w:pPr>
              <w:jc w:val="center"/>
              <w:rPr>
                <w:b/>
                <w:sz w:val="20"/>
                <w:szCs w:val="20"/>
              </w:rPr>
            </w:pPr>
            <w:r w:rsidRPr="0018202F">
              <w:rPr>
                <w:b/>
                <w:sz w:val="20"/>
                <w:szCs w:val="20"/>
              </w:rPr>
              <w:t>45.80</w:t>
            </w:r>
          </w:p>
        </w:tc>
        <w:tc>
          <w:tcPr>
            <w:tcW w:w="900" w:type="dxa"/>
            <w:vAlign w:val="center"/>
          </w:tcPr>
          <w:p w:rsidR="00A47502" w:rsidRPr="0018202F" w:rsidRDefault="00A47502" w:rsidP="00A47502">
            <w:pPr>
              <w:jc w:val="center"/>
              <w:rPr>
                <w:b/>
                <w:sz w:val="20"/>
                <w:szCs w:val="20"/>
              </w:rPr>
            </w:pPr>
            <w:r w:rsidRPr="0018202F">
              <w:rPr>
                <w:b/>
                <w:sz w:val="20"/>
                <w:szCs w:val="20"/>
              </w:rPr>
              <w:fldChar w:fldCharType="begin"/>
            </w:r>
            <w:r w:rsidRPr="0018202F">
              <w:rPr>
                <w:b/>
                <w:sz w:val="20"/>
                <w:szCs w:val="20"/>
              </w:rPr>
              <w:instrText xml:space="preserve"> =SUM(ABOVE) </w:instrText>
            </w:r>
            <w:r w:rsidRPr="0018202F">
              <w:rPr>
                <w:b/>
                <w:sz w:val="20"/>
                <w:szCs w:val="20"/>
              </w:rPr>
              <w:fldChar w:fldCharType="separate"/>
            </w:r>
            <w:r w:rsidRPr="0018202F">
              <w:rPr>
                <w:b/>
                <w:sz w:val="20"/>
                <w:szCs w:val="20"/>
              </w:rPr>
              <w:t>81520</w:t>
            </w:r>
            <w:r w:rsidRPr="0018202F">
              <w:rPr>
                <w:b/>
                <w:sz w:val="20"/>
                <w:szCs w:val="20"/>
              </w:rPr>
              <w:fldChar w:fldCharType="end"/>
            </w:r>
          </w:p>
        </w:tc>
        <w:tc>
          <w:tcPr>
            <w:tcW w:w="720" w:type="dxa"/>
            <w:vAlign w:val="center"/>
          </w:tcPr>
          <w:p w:rsidR="00A47502" w:rsidRPr="0018202F" w:rsidRDefault="00A47502" w:rsidP="00A47502">
            <w:pPr>
              <w:jc w:val="center"/>
              <w:rPr>
                <w:b/>
                <w:sz w:val="20"/>
                <w:szCs w:val="20"/>
              </w:rPr>
            </w:pPr>
            <w:r w:rsidRPr="0018202F">
              <w:rPr>
                <w:b/>
                <w:sz w:val="20"/>
                <w:szCs w:val="20"/>
              </w:rPr>
              <w:t>42.35</w:t>
            </w:r>
          </w:p>
        </w:tc>
        <w:tc>
          <w:tcPr>
            <w:tcW w:w="810" w:type="dxa"/>
            <w:vAlign w:val="center"/>
          </w:tcPr>
          <w:p w:rsidR="00A47502" w:rsidRPr="0018202F" w:rsidRDefault="00A47502" w:rsidP="00A47502">
            <w:pPr>
              <w:jc w:val="center"/>
              <w:rPr>
                <w:b/>
                <w:sz w:val="20"/>
                <w:szCs w:val="20"/>
              </w:rPr>
            </w:pPr>
            <w:r w:rsidRPr="0018202F">
              <w:rPr>
                <w:b/>
                <w:sz w:val="20"/>
                <w:szCs w:val="20"/>
              </w:rPr>
              <w:fldChar w:fldCharType="begin"/>
            </w:r>
            <w:r w:rsidRPr="0018202F">
              <w:rPr>
                <w:b/>
                <w:sz w:val="20"/>
                <w:szCs w:val="20"/>
              </w:rPr>
              <w:instrText xml:space="preserve"> =SUM(ABOVE) </w:instrText>
            </w:r>
            <w:r w:rsidRPr="0018202F">
              <w:rPr>
                <w:b/>
                <w:sz w:val="20"/>
                <w:szCs w:val="20"/>
              </w:rPr>
              <w:fldChar w:fldCharType="separate"/>
            </w:r>
            <w:r w:rsidRPr="0018202F">
              <w:rPr>
                <w:b/>
                <w:sz w:val="20"/>
                <w:szCs w:val="20"/>
              </w:rPr>
              <w:t>8820</w:t>
            </w:r>
            <w:r w:rsidRPr="0018202F">
              <w:rPr>
                <w:b/>
                <w:sz w:val="20"/>
                <w:szCs w:val="20"/>
              </w:rPr>
              <w:fldChar w:fldCharType="end"/>
            </w:r>
          </w:p>
        </w:tc>
        <w:tc>
          <w:tcPr>
            <w:tcW w:w="990" w:type="dxa"/>
            <w:vAlign w:val="center"/>
          </w:tcPr>
          <w:p w:rsidR="00A47502" w:rsidRPr="0018202F" w:rsidRDefault="00A47502" w:rsidP="00A47502">
            <w:pPr>
              <w:jc w:val="center"/>
              <w:rPr>
                <w:b/>
                <w:sz w:val="20"/>
                <w:szCs w:val="20"/>
              </w:rPr>
            </w:pPr>
            <w:r w:rsidRPr="0018202F">
              <w:rPr>
                <w:b/>
                <w:sz w:val="20"/>
                <w:szCs w:val="20"/>
              </w:rPr>
              <w:t>54.39</w:t>
            </w:r>
          </w:p>
        </w:tc>
      </w:tr>
      <w:tr w:rsidR="00A47502" w:rsidRPr="00C66203" w:rsidTr="00A47502">
        <w:tc>
          <w:tcPr>
            <w:tcW w:w="2268" w:type="dxa"/>
          </w:tcPr>
          <w:p w:rsidR="00A47502" w:rsidRPr="0018202F" w:rsidRDefault="00A47502" w:rsidP="00A47502">
            <w:pPr>
              <w:rPr>
                <w:b/>
                <w:sz w:val="20"/>
                <w:szCs w:val="20"/>
              </w:rPr>
            </w:pPr>
            <w:r w:rsidRPr="0018202F">
              <w:rPr>
                <w:b/>
                <w:sz w:val="20"/>
                <w:szCs w:val="20"/>
              </w:rPr>
              <w:t xml:space="preserve">Вкупно Р.Македонија </w:t>
            </w:r>
          </w:p>
        </w:tc>
        <w:tc>
          <w:tcPr>
            <w:tcW w:w="810" w:type="dxa"/>
            <w:vAlign w:val="center"/>
          </w:tcPr>
          <w:p w:rsidR="00A47502" w:rsidRPr="0018202F" w:rsidRDefault="00A47502" w:rsidP="00A47502">
            <w:pPr>
              <w:jc w:val="center"/>
              <w:rPr>
                <w:b/>
                <w:sz w:val="20"/>
                <w:szCs w:val="20"/>
              </w:rPr>
            </w:pPr>
            <w:r w:rsidRPr="0018202F">
              <w:rPr>
                <w:b/>
                <w:sz w:val="20"/>
                <w:szCs w:val="20"/>
              </w:rPr>
              <w:t>4740</w:t>
            </w:r>
          </w:p>
        </w:tc>
        <w:tc>
          <w:tcPr>
            <w:tcW w:w="990" w:type="dxa"/>
            <w:vAlign w:val="center"/>
          </w:tcPr>
          <w:p w:rsidR="00A47502" w:rsidRPr="0018202F" w:rsidRDefault="00A47502" w:rsidP="00A47502">
            <w:pPr>
              <w:jc w:val="center"/>
              <w:rPr>
                <w:b/>
                <w:sz w:val="20"/>
                <w:szCs w:val="20"/>
              </w:rPr>
            </w:pPr>
            <w:r w:rsidRPr="0018202F">
              <w:rPr>
                <w:b/>
                <w:sz w:val="20"/>
                <w:szCs w:val="20"/>
              </w:rPr>
              <w:t>100.00</w:t>
            </w:r>
          </w:p>
        </w:tc>
        <w:tc>
          <w:tcPr>
            <w:tcW w:w="900" w:type="dxa"/>
            <w:vAlign w:val="center"/>
          </w:tcPr>
          <w:p w:rsidR="00A47502" w:rsidRPr="0018202F" w:rsidRDefault="00A47502" w:rsidP="00A47502">
            <w:pPr>
              <w:jc w:val="center"/>
              <w:rPr>
                <w:b/>
                <w:sz w:val="20"/>
                <w:szCs w:val="20"/>
              </w:rPr>
            </w:pPr>
            <w:r w:rsidRPr="0018202F">
              <w:rPr>
                <w:b/>
                <w:sz w:val="20"/>
                <w:szCs w:val="20"/>
              </w:rPr>
              <w:t>192461</w:t>
            </w:r>
          </w:p>
        </w:tc>
        <w:tc>
          <w:tcPr>
            <w:tcW w:w="720" w:type="dxa"/>
            <w:vAlign w:val="center"/>
          </w:tcPr>
          <w:p w:rsidR="00A47502" w:rsidRPr="0018202F" w:rsidRDefault="00A47502" w:rsidP="00A47502">
            <w:pPr>
              <w:jc w:val="center"/>
              <w:rPr>
                <w:b/>
                <w:sz w:val="20"/>
                <w:szCs w:val="20"/>
              </w:rPr>
            </w:pPr>
            <w:r w:rsidRPr="0018202F">
              <w:rPr>
                <w:b/>
                <w:sz w:val="20"/>
                <w:szCs w:val="20"/>
              </w:rPr>
              <w:t>100</w:t>
            </w:r>
          </w:p>
        </w:tc>
        <w:tc>
          <w:tcPr>
            <w:tcW w:w="810" w:type="dxa"/>
            <w:vAlign w:val="center"/>
          </w:tcPr>
          <w:p w:rsidR="00A47502" w:rsidRPr="0018202F" w:rsidRDefault="00A47502" w:rsidP="00A47502">
            <w:pPr>
              <w:jc w:val="center"/>
              <w:rPr>
                <w:b/>
                <w:sz w:val="20"/>
                <w:szCs w:val="20"/>
              </w:rPr>
            </w:pPr>
            <w:r w:rsidRPr="0018202F">
              <w:rPr>
                <w:b/>
                <w:sz w:val="20"/>
                <w:szCs w:val="20"/>
              </w:rPr>
              <w:t>16216</w:t>
            </w:r>
          </w:p>
        </w:tc>
        <w:tc>
          <w:tcPr>
            <w:tcW w:w="990" w:type="dxa"/>
            <w:vAlign w:val="center"/>
          </w:tcPr>
          <w:p w:rsidR="00A47502" w:rsidRPr="0018202F" w:rsidRDefault="00A47502" w:rsidP="00A47502">
            <w:pPr>
              <w:jc w:val="center"/>
              <w:rPr>
                <w:b/>
                <w:sz w:val="20"/>
                <w:szCs w:val="20"/>
              </w:rPr>
            </w:pPr>
            <w:r w:rsidRPr="0018202F">
              <w:rPr>
                <w:b/>
                <w:sz w:val="20"/>
                <w:szCs w:val="20"/>
              </w:rPr>
              <w:t>100.00</w:t>
            </w:r>
          </w:p>
        </w:tc>
      </w:tr>
    </w:tbl>
    <w:p w:rsidR="00A47502" w:rsidRPr="003B5E85" w:rsidRDefault="00A47502" w:rsidP="00A47502">
      <w:pPr>
        <w:autoSpaceDE w:val="0"/>
        <w:autoSpaceDN w:val="0"/>
        <w:adjustRightInd w:val="0"/>
        <w:rPr>
          <w:sz w:val="20"/>
          <w:szCs w:val="24"/>
        </w:rPr>
      </w:pPr>
      <w:r w:rsidRPr="003B5E85">
        <w:rPr>
          <w:sz w:val="20"/>
          <w:szCs w:val="24"/>
        </w:rPr>
        <w:t>Извор</w:t>
      </w:r>
      <w:r w:rsidRPr="003B5E85">
        <w:rPr>
          <w:sz w:val="20"/>
          <w:szCs w:val="24"/>
          <w:lang w:val="en-US"/>
        </w:rPr>
        <w:t>:</w:t>
      </w:r>
      <w:r w:rsidRPr="003B5E85">
        <w:rPr>
          <w:sz w:val="20"/>
          <w:szCs w:val="24"/>
        </w:rPr>
        <w:t xml:space="preserve"> Државен завод за статистика: Попис на капацитетите во угостителството во Република Македонија , Скопје 2011 </w:t>
      </w:r>
    </w:p>
    <w:p w:rsidR="00A47502" w:rsidRDefault="00A47502" w:rsidP="00A47502">
      <w:pPr>
        <w:tabs>
          <w:tab w:val="left" w:pos="720"/>
        </w:tabs>
        <w:rPr>
          <w:szCs w:val="24"/>
          <w:lang w:eastAsia="mk-MK"/>
        </w:rPr>
      </w:pPr>
    </w:p>
    <w:p w:rsidR="00A47502" w:rsidRDefault="00A47502" w:rsidP="00A47502">
      <w:pPr>
        <w:tabs>
          <w:tab w:val="left" w:pos="720"/>
        </w:tabs>
        <w:rPr>
          <w:szCs w:val="24"/>
          <w:lang w:eastAsia="mk-MK"/>
        </w:rPr>
      </w:pPr>
      <w:r>
        <w:rPr>
          <w:szCs w:val="24"/>
          <w:lang w:eastAsia="mk-MK"/>
        </w:rPr>
        <w:t xml:space="preserve">Графикон 4. - Процентуално учество на избраните општини во угостителски објекти  </w:t>
      </w:r>
    </w:p>
    <w:p w:rsidR="00A47502" w:rsidRPr="003B5E85" w:rsidRDefault="00A47502" w:rsidP="00A47502">
      <w:pPr>
        <w:rPr>
          <w:sz w:val="16"/>
          <w:szCs w:val="24"/>
        </w:rPr>
      </w:pPr>
      <w:r>
        <w:rPr>
          <w:szCs w:val="24"/>
        </w:rPr>
        <w:tab/>
      </w:r>
    </w:p>
    <w:p w:rsidR="00A47502" w:rsidRDefault="00A47502" w:rsidP="00A47502">
      <w:pPr>
        <w:jc w:val="center"/>
        <w:rPr>
          <w:szCs w:val="24"/>
          <w:lang w:eastAsia="mk-MK"/>
        </w:rPr>
      </w:pPr>
      <w:r>
        <w:rPr>
          <w:noProof/>
          <w:szCs w:val="24"/>
          <w:lang w:val="en-US"/>
        </w:rPr>
        <w:drawing>
          <wp:inline distT="0" distB="0" distL="0" distR="0">
            <wp:extent cx="4381123" cy="2552116"/>
            <wp:effectExtent l="11681" t="5664" r="5841" b="0"/>
            <wp:docPr id="4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7502" w:rsidRDefault="00A47502" w:rsidP="00A47502">
      <w:pPr>
        <w:jc w:val="center"/>
        <w:rPr>
          <w:szCs w:val="24"/>
        </w:rPr>
      </w:pPr>
    </w:p>
    <w:p w:rsidR="00A47502" w:rsidRPr="003B5E85" w:rsidRDefault="00A47502" w:rsidP="00A47502">
      <w:pPr>
        <w:jc w:val="center"/>
        <w:rPr>
          <w:sz w:val="16"/>
          <w:szCs w:val="24"/>
        </w:rPr>
      </w:pPr>
    </w:p>
    <w:p w:rsidR="00A47502" w:rsidRDefault="00A47502" w:rsidP="00A47502">
      <w:pPr>
        <w:tabs>
          <w:tab w:val="left" w:pos="720"/>
        </w:tabs>
        <w:rPr>
          <w:szCs w:val="24"/>
          <w:lang w:eastAsia="mk-MK"/>
        </w:rPr>
      </w:pPr>
      <w:r>
        <w:rPr>
          <w:szCs w:val="24"/>
          <w:lang w:eastAsia="mk-MK"/>
        </w:rPr>
        <w:t xml:space="preserve">Графикон 5. - Процентуално учество на избраните општини според број на вработени во угостиелството  </w:t>
      </w:r>
    </w:p>
    <w:p w:rsidR="00A47502" w:rsidRPr="003B5E85" w:rsidRDefault="00A47502" w:rsidP="00A47502">
      <w:pPr>
        <w:tabs>
          <w:tab w:val="left" w:pos="720"/>
        </w:tabs>
        <w:rPr>
          <w:sz w:val="16"/>
          <w:szCs w:val="24"/>
          <w:lang w:eastAsia="mk-MK"/>
        </w:rPr>
      </w:pPr>
    </w:p>
    <w:p w:rsidR="00A47502" w:rsidRPr="00C66203" w:rsidRDefault="00A47502" w:rsidP="00A47502">
      <w:pPr>
        <w:jc w:val="center"/>
        <w:rPr>
          <w:szCs w:val="24"/>
        </w:rPr>
      </w:pPr>
      <w:r>
        <w:rPr>
          <w:noProof/>
          <w:szCs w:val="24"/>
          <w:lang w:val="en-US"/>
        </w:rPr>
        <w:drawing>
          <wp:inline distT="0" distB="0" distL="0" distR="0">
            <wp:extent cx="4196442" cy="2529753"/>
            <wp:effectExtent l="11189" t="5167" r="5594" b="0"/>
            <wp:docPr id="4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7502" w:rsidRDefault="00A47502" w:rsidP="00A47502">
      <w:pPr>
        <w:rPr>
          <w:szCs w:val="24"/>
        </w:rPr>
      </w:pPr>
      <w:r>
        <w:rPr>
          <w:szCs w:val="24"/>
        </w:rPr>
        <w:tab/>
      </w:r>
    </w:p>
    <w:p w:rsidR="00A47502" w:rsidRPr="00025637" w:rsidRDefault="00A47502" w:rsidP="00A47502">
      <w:pPr>
        <w:rPr>
          <w:szCs w:val="24"/>
          <w:lang w:val="en-US"/>
        </w:rPr>
      </w:pPr>
      <w:r>
        <w:rPr>
          <w:szCs w:val="24"/>
        </w:rPr>
        <w:tab/>
      </w:r>
      <w:r w:rsidRPr="00C66203">
        <w:rPr>
          <w:szCs w:val="24"/>
        </w:rPr>
        <w:t>Корелациониот коефициент помеѓу процентот на угостителски објекти во општините и бројот на вработени во истите е позитивен и изнесува 0.978.</w:t>
      </w:r>
      <w:r>
        <w:rPr>
          <w:szCs w:val="24"/>
        </w:rPr>
        <w:t xml:space="preserve"> </w:t>
      </w:r>
      <w:r w:rsidRPr="00C66203">
        <w:rPr>
          <w:szCs w:val="24"/>
        </w:rPr>
        <w:t xml:space="preserve">Ова значи дека за да се зголеми </w:t>
      </w:r>
      <w:r w:rsidRPr="00C66203">
        <w:rPr>
          <w:szCs w:val="24"/>
        </w:rPr>
        <w:lastRenderedPageBreak/>
        <w:t>вработеноста во угостителството треба да се зголем</w:t>
      </w:r>
      <w:r>
        <w:rPr>
          <w:szCs w:val="24"/>
        </w:rPr>
        <w:t xml:space="preserve">и бројот на </w:t>
      </w:r>
      <w:r w:rsidRPr="00C66203">
        <w:rPr>
          <w:szCs w:val="24"/>
        </w:rPr>
        <w:t>угостителски</w:t>
      </w:r>
      <w:r>
        <w:rPr>
          <w:szCs w:val="24"/>
        </w:rPr>
        <w:t xml:space="preserve"> објекти и бројот на седишта</w:t>
      </w:r>
      <w:r w:rsidRPr="00C66203">
        <w:rPr>
          <w:szCs w:val="24"/>
        </w:rPr>
        <w:t xml:space="preserve">. </w:t>
      </w:r>
      <w:r>
        <w:rPr>
          <w:szCs w:val="24"/>
        </w:rPr>
        <w:t>Исто така, к</w:t>
      </w:r>
      <w:r w:rsidRPr="00025637">
        <w:rPr>
          <w:szCs w:val="24"/>
        </w:rPr>
        <w:t>орелацијата помеѓу бројот на вработени во угостителските капацитети и бројот на жители изнесува 2.07%</w:t>
      </w:r>
      <w:r>
        <w:rPr>
          <w:szCs w:val="24"/>
        </w:rPr>
        <w:t>, односно доволен п</w:t>
      </w:r>
      <w:r w:rsidRPr="00025637">
        <w:rPr>
          <w:szCs w:val="24"/>
        </w:rPr>
        <w:t xml:space="preserve">ростор за </w:t>
      </w:r>
      <w:r>
        <w:rPr>
          <w:szCs w:val="24"/>
        </w:rPr>
        <w:t xml:space="preserve">нови </w:t>
      </w:r>
      <w:r w:rsidRPr="00025637">
        <w:rPr>
          <w:szCs w:val="24"/>
        </w:rPr>
        <w:t>вработувањ</w:t>
      </w:r>
      <w:r>
        <w:rPr>
          <w:szCs w:val="24"/>
        </w:rPr>
        <w:t>а</w:t>
      </w:r>
      <w:r w:rsidRPr="00025637">
        <w:rPr>
          <w:szCs w:val="24"/>
        </w:rPr>
        <w:t xml:space="preserve"> во угостителството. </w:t>
      </w:r>
    </w:p>
    <w:p w:rsidR="00A47502" w:rsidRDefault="00A47502" w:rsidP="00A47502">
      <w:pPr>
        <w:ind w:left="720"/>
        <w:rPr>
          <w:szCs w:val="24"/>
        </w:rPr>
      </w:pPr>
    </w:p>
    <w:p w:rsidR="00A47502" w:rsidRPr="003B5E85" w:rsidRDefault="00A47502" w:rsidP="00A47502">
      <w:pPr>
        <w:ind w:left="720"/>
        <w:rPr>
          <w:szCs w:val="24"/>
        </w:rPr>
      </w:pPr>
    </w:p>
    <w:p w:rsidR="00A47502" w:rsidRDefault="00A47502" w:rsidP="00A47502">
      <w:pPr>
        <w:numPr>
          <w:ilvl w:val="0"/>
          <w:numId w:val="1"/>
        </w:numPr>
        <w:spacing w:after="200"/>
        <w:jc w:val="left"/>
        <w:rPr>
          <w:b/>
          <w:szCs w:val="24"/>
        </w:rPr>
      </w:pPr>
      <w:r w:rsidRPr="00C66203">
        <w:rPr>
          <w:b/>
          <w:szCs w:val="24"/>
        </w:rPr>
        <w:t xml:space="preserve">Капацитети за сместување во Дојран и другите избрани опптини </w:t>
      </w:r>
    </w:p>
    <w:p w:rsidR="00A47502" w:rsidRDefault="00A47502" w:rsidP="00A47502">
      <w:pPr>
        <w:rPr>
          <w:szCs w:val="24"/>
        </w:rPr>
      </w:pPr>
      <w:r>
        <w:rPr>
          <w:szCs w:val="24"/>
        </w:rPr>
        <w:tab/>
        <w:t xml:space="preserve">За потврдување на </w:t>
      </w:r>
      <w:r w:rsidRPr="00671470">
        <w:rPr>
          <w:szCs w:val="24"/>
        </w:rPr>
        <w:t>претходното следи</w:t>
      </w:r>
      <w:r>
        <w:rPr>
          <w:szCs w:val="24"/>
        </w:rPr>
        <w:t xml:space="preserve"> и прегледот за сместувачките капацитети со кои располага Општина Дојран. </w:t>
      </w:r>
      <w:r w:rsidRPr="00C66203">
        <w:rPr>
          <w:szCs w:val="24"/>
        </w:rPr>
        <w:t>Разв</w:t>
      </w:r>
      <w:r>
        <w:rPr>
          <w:szCs w:val="24"/>
        </w:rPr>
        <w:t>ојот на туризмот директно е поврзна и со капацитетите за сместување. Имено, вр</w:t>
      </w:r>
      <w:r w:rsidRPr="00C66203">
        <w:rPr>
          <w:szCs w:val="24"/>
        </w:rPr>
        <w:t xml:space="preserve">з основа на податоците од </w:t>
      </w:r>
      <w:r>
        <w:rPr>
          <w:szCs w:val="24"/>
        </w:rPr>
        <w:t xml:space="preserve"> Заводот за с</w:t>
      </w:r>
      <w:r w:rsidRPr="00C66203">
        <w:rPr>
          <w:szCs w:val="24"/>
        </w:rPr>
        <w:t>татистик</w:t>
      </w:r>
      <w:r>
        <w:rPr>
          <w:szCs w:val="24"/>
        </w:rPr>
        <w:t>а, ќе ги</w:t>
      </w:r>
      <w:r w:rsidRPr="00C66203">
        <w:rPr>
          <w:szCs w:val="24"/>
        </w:rPr>
        <w:t xml:space="preserve"> според</w:t>
      </w:r>
      <w:r>
        <w:rPr>
          <w:szCs w:val="24"/>
        </w:rPr>
        <w:t xml:space="preserve">име туристичките-сместувачките капацитети на </w:t>
      </w:r>
      <w:r w:rsidRPr="00C66203">
        <w:rPr>
          <w:szCs w:val="24"/>
        </w:rPr>
        <w:t>Дојран со вкупн</w:t>
      </w:r>
      <w:r>
        <w:rPr>
          <w:szCs w:val="24"/>
        </w:rPr>
        <w:t xml:space="preserve">ите капацитети во РМ  и посебно за наведените осум општини. Во анализата се апсолвирани </w:t>
      </w:r>
      <w:r w:rsidRPr="00C66203">
        <w:rPr>
          <w:szCs w:val="24"/>
        </w:rPr>
        <w:t>број</w:t>
      </w:r>
      <w:r>
        <w:rPr>
          <w:szCs w:val="24"/>
        </w:rPr>
        <w:t>от</w:t>
      </w:r>
      <w:r w:rsidRPr="00C66203">
        <w:rPr>
          <w:szCs w:val="24"/>
        </w:rPr>
        <w:t xml:space="preserve"> на </w:t>
      </w:r>
      <w:r>
        <w:rPr>
          <w:szCs w:val="24"/>
        </w:rPr>
        <w:t>сместувачки објекти-капацитети</w:t>
      </w:r>
      <w:r w:rsidRPr="00C66203">
        <w:rPr>
          <w:szCs w:val="24"/>
        </w:rPr>
        <w:t xml:space="preserve">, </w:t>
      </w:r>
      <w:r>
        <w:rPr>
          <w:szCs w:val="24"/>
        </w:rPr>
        <w:t xml:space="preserve">бројот на соби, бројот на легла и бројот на вработени. </w:t>
      </w:r>
    </w:p>
    <w:p w:rsidR="00A47502" w:rsidRDefault="00A47502" w:rsidP="00A47502">
      <w:pPr>
        <w:rPr>
          <w:szCs w:val="24"/>
        </w:rPr>
      </w:pPr>
      <w:r>
        <w:rPr>
          <w:szCs w:val="24"/>
        </w:rPr>
        <w:tab/>
        <w:t xml:space="preserve">Сумирано апсолвираните девет општини во сместувачките капацитети во РМ, имаат високо учество од 67,9% за објекти за сместување, потоа од 78,9% за бројот на соби,  па високо учество од дури 80,0% во бројот на легла, и 75,2% за бројот на вработени лица.  Рангирано, за поголем дел од елементи, на прво место е туристичкиот центар Охрид, потоа следи Скопје, Ресен, па Дојран, Струга и т.н. (Види Табела 4.) Конкретно за Општина Дојран ги бележиме следните податоци. Во Дојран, бројот на сместувачки објекти изнесува 49 со учество од 10,1%,  бројот на соби изнесува 1216 со учество од 7,5%, бројто на легла изнесува 3891 легло со учество од 8.6%, и бројот на вработени лица изнесува само 142 со учество од 2,6%. Според елаборираните параметри Општина Дојран се наоѓа на четврто место за бројот на сместувачки објекти, на петто место според бројот на соби и бројот на легла, додека пак според бројто на вработени е на седмо место. </w:t>
      </w:r>
    </w:p>
    <w:p w:rsidR="00A47502" w:rsidRDefault="00A47502" w:rsidP="00A47502">
      <w:pPr>
        <w:rPr>
          <w:szCs w:val="24"/>
        </w:rPr>
      </w:pPr>
      <w:r>
        <w:rPr>
          <w:szCs w:val="24"/>
        </w:rPr>
        <w:tab/>
        <w:t xml:space="preserve"> </w:t>
      </w:r>
    </w:p>
    <w:p w:rsidR="00A47502" w:rsidRDefault="00A47502" w:rsidP="00A47502">
      <w:pPr>
        <w:rPr>
          <w:szCs w:val="24"/>
        </w:rPr>
      </w:pPr>
    </w:p>
    <w:p w:rsidR="00A47502" w:rsidRDefault="00A47502" w:rsidP="00A47502">
      <w:pPr>
        <w:rPr>
          <w:szCs w:val="24"/>
        </w:rPr>
      </w:pPr>
    </w:p>
    <w:p w:rsidR="00A47502" w:rsidRDefault="00A47502" w:rsidP="00A47502">
      <w:pPr>
        <w:rPr>
          <w:szCs w:val="24"/>
        </w:rPr>
      </w:pPr>
    </w:p>
    <w:p w:rsidR="00A47502" w:rsidRDefault="00A47502" w:rsidP="00A47502">
      <w:pPr>
        <w:rPr>
          <w:szCs w:val="24"/>
        </w:rPr>
      </w:pPr>
    </w:p>
    <w:p w:rsidR="00A47502" w:rsidRDefault="00A47502" w:rsidP="00A47502">
      <w:pPr>
        <w:rPr>
          <w:szCs w:val="24"/>
        </w:rPr>
      </w:pPr>
    </w:p>
    <w:p w:rsidR="00A47502" w:rsidRDefault="00A47502" w:rsidP="00A47502">
      <w:pPr>
        <w:rPr>
          <w:szCs w:val="24"/>
        </w:rPr>
      </w:pPr>
    </w:p>
    <w:p w:rsidR="00A47502" w:rsidRDefault="00A47502" w:rsidP="00A47502">
      <w:pPr>
        <w:rPr>
          <w:szCs w:val="24"/>
        </w:rPr>
      </w:pPr>
    </w:p>
    <w:p w:rsidR="00A47502" w:rsidRDefault="00A47502" w:rsidP="00A47502">
      <w:pPr>
        <w:rPr>
          <w:szCs w:val="24"/>
        </w:rPr>
      </w:pPr>
      <w:r>
        <w:rPr>
          <w:szCs w:val="24"/>
          <w:lang w:eastAsia="mk-MK"/>
        </w:rPr>
        <w:lastRenderedPageBreak/>
        <w:t xml:space="preserve">Табела 4. – Капацитети за сместување </w:t>
      </w:r>
      <w:r>
        <w:rPr>
          <w:szCs w:val="24"/>
        </w:rPr>
        <w:t>во Општина Дојран и избраните општини</w:t>
      </w:r>
    </w:p>
    <w:p w:rsidR="00A47502" w:rsidRPr="00AE0699" w:rsidRDefault="00A47502" w:rsidP="00A47502">
      <w:pPr>
        <w:jc w:val="right"/>
        <w:rPr>
          <w:i/>
          <w:szCs w:val="24"/>
        </w:rPr>
      </w:pPr>
      <w:r w:rsidRPr="00AE0699">
        <w:rPr>
          <w:i/>
          <w:szCs w:val="24"/>
        </w:rPr>
        <w:t>(состојба 2010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6"/>
        <w:gridCol w:w="674"/>
        <w:gridCol w:w="768"/>
        <w:gridCol w:w="731"/>
        <w:gridCol w:w="775"/>
        <w:gridCol w:w="770"/>
        <w:gridCol w:w="770"/>
        <w:gridCol w:w="686"/>
        <w:gridCol w:w="776"/>
      </w:tblGrid>
      <w:tr w:rsidR="00A47502" w:rsidRPr="003B5E85" w:rsidTr="00A47502">
        <w:tc>
          <w:tcPr>
            <w:tcW w:w="1514" w:type="dxa"/>
            <w:vMerge w:val="restart"/>
            <w:shd w:val="clear" w:color="auto" w:fill="F2F2F2"/>
            <w:vAlign w:val="center"/>
          </w:tcPr>
          <w:p w:rsidR="00A47502" w:rsidRPr="003B5E85" w:rsidRDefault="00A47502" w:rsidP="00A47502">
            <w:pPr>
              <w:jc w:val="center"/>
              <w:rPr>
                <w:b/>
                <w:sz w:val="22"/>
                <w:szCs w:val="24"/>
              </w:rPr>
            </w:pPr>
            <w:r w:rsidRPr="003B5E85">
              <w:rPr>
                <w:b/>
                <w:sz w:val="22"/>
                <w:szCs w:val="24"/>
              </w:rPr>
              <w:t>Општина</w:t>
            </w:r>
          </w:p>
        </w:tc>
        <w:tc>
          <w:tcPr>
            <w:tcW w:w="1656" w:type="dxa"/>
            <w:gridSpan w:val="2"/>
            <w:shd w:val="clear" w:color="auto" w:fill="F2F2F2"/>
            <w:vAlign w:val="center"/>
          </w:tcPr>
          <w:p w:rsidR="00A47502" w:rsidRPr="003B5E85" w:rsidRDefault="00A47502" w:rsidP="00A47502">
            <w:pPr>
              <w:jc w:val="center"/>
              <w:rPr>
                <w:b/>
                <w:sz w:val="22"/>
                <w:szCs w:val="24"/>
              </w:rPr>
            </w:pPr>
            <w:r w:rsidRPr="003B5E85">
              <w:rPr>
                <w:b/>
                <w:sz w:val="22"/>
                <w:szCs w:val="24"/>
              </w:rPr>
              <w:t>Објекти за сместување</w:t>
            </w:r>
          </w:p>
        </w:tc>
        <w:tc>
          <w:tcPr>
            <w:tcW w:w="2125" w:type="dxa"/>
            <w:gridSpan w:val="2"/>
            <w:shd w:val="clear" w:color="auto" w:fill="F2F2F2"/>
            <w:vAlign w:val="center"/>
          </w:tcPr>
          <w:p w:rsidR="00A47502" w:rsidRPr="003B5E85" w:rsidRDefault="00A47502" w:rsidP="00A47502">
            <w:pPr>
              <w:jc w:val="center"/>
              <w:rPr>
                <w:b/>
                <w:sz w:val="22"/>
                <w:szCs w:val="24"/>
              </w:rPr>
            </w:pPr>
            <w:r w:rsidRPr="003B5E85">
              <w:rPr>
                <w:b/>
                <w:sz w:val="22"/>
                <w:szCs w:val="24"/>
              </w:rPr>
              <w:t>Број на соби</w:t>
            </w:r>
          </w:p>
        </w:tc>
        <w:tc>
          <w:tcPr>
            <w:tcW w:w="1753" w:type="dxa"/>
            <w:gridSpan w:val="2"/>
            <w:shd w:val="clear" w:color="auto" w:fill="F2F2F2"/>
            <w:vAlign w:val="center"/>
          </w:tcPr>
          <w:p w:rsidR="00A47502" w:rsidRPr="003B5E85" w:rsidRDefault="00A47502" w:rsidP="00A47502">
            <w:pPr>
              <w:jc w:val="center"/>
              <w:rPr>
                <w:b/>
                <w:sz w:val="22"/>
                <w:szCs w:val="24"/>
              </w:rPr>
            </w:pPr>
            <w:r w:rsidRPr="003B5E85">
              <w:rPr>
                <w:b/>
                <w:sz w:val="22"/>
                <w:szCs w:val="24"/>
              </w:rPr>
              <w:t>Број на легла</w:t>
            </w:r>
          </w:p>
        </w:tc>
        <w:tc>
          <w:tcPr>
            <w:tcW w:w="2194" w:type="dxa"/>
            <w:gridSpan w:val="2"/>
            <w:shd w:val="clear" w:color="auto" w:fill="F2F2F2"/>
            <w:vAlign w:val="center"/>
          </w:tcPr>
          <w:p w:rsidR="00A47502" w:rsidRPr="003B5E85" w:rsidRDefault="00A47502" w:rsidP="00A47502">
            <w:pPr>
              <w:jc w:val="center"/>
              <w:rPr>
                <w:b/>
                <w:sz w:val="22"/>
                <w:szCs w:val="24"/>
              </w:rPr>
            </w:pPr>
            <w:r w:rsidRPr="003B5E85">
              <w:rPr>
                <w:b/>
                <w:sz w:val="22"/>
                <w:szCs w:val="24"/>
              </w:rPr>
              <w:t>Број на вработени</w:t>
            </w:r>
          </w:p>
        </w:tc>
      </w:tr>
      <w:tr w:rsidR="00A47502" w:rsidRPr="003B5E85" w:rsidTr="00A47502">
        <w:tc>
          <w:tcPr>
            <w:tcW w:w="1514" w:type="dxa"/>
            <w:vMerge/>
            <w:shd w:val="clear" w:color="auto" w:fill="F2F2F2"/>
            <w:vAlign w:val="center"/>
          </w:tcPr>
          <w:p w:rsidR="00A47502" w:rsidRPr="003B5E85" w:rsidRDefault="00A47502" w:rsidP="00A47502">
            <w:pPr>
              <w:jc w:val="center"/>
              <w:rPr>
                <w:b/>
                <w:sz w:val="22"/>
                <w:szCs w:val="24"/>
              </w:rPr>
            </w:pPr>
          </w:p>
        </w:tc>
        <w:tc>
          <w:tcPr>
            <w:tcW w:w="832" w:type="dxa"/>
            <w:shd w:val="clear" w:color="auto" w:fill="F2F2F2"/>
            <w:vAlign w:val="center"/>
          </w:tcPr>
          <w:p w:rsidR="00A47502" w:rsidRPr="003B5E85" w:rsidRDefault="00A47502" w:rsidP="00A47502">
            <w:pPr>
              <w:jc w:val="center"/>
              <w:rPr>
                <w:b/>
                <w:sz w:val="22"/>
                <w:szCs w:val="24"/>
              </w:rPr>
            </w:pPr>
            <w:r w:rsidRPr="003B5E85">
              <w:rPr>
                <w:b/>
                <w:sz w:val="22"/>
                <w:szCs w:val="24"/>
              </w:rPr>
              <w:t>Број</w:t>
            </w:r>
          </w:p>
        </w:tc>
        <w:tc>
          <w:tcPr>
            <w:tcW w:w="824" w:type="dxa"/>
            <w:shd w:val="clear" w:color="auto" w:fill="F2F2F2"/>
            <w:vAlign w:val="center"/>
          </w:tcPr>
          <w:p w:rsidR="00A47502" w:rsidRPr="003B5E85" w:rsidRDefault="00A47502" w:rsidP="00A47502">
            <w:pPr>
              <w:jc w:val="center"/>
              <w:rPr>
                <w:b/>
                <w:sz w:val="22"/>
                <w:szCs w:val="24"/>
              </w:rPr>
            </w:pPr>
            <w:r w:rsidRPr="003B5E85">
              <w:rPr>
                <w:b/>
                <w:sz w:val="22"/>
                <w:szCs w:val="24"/>
              </w:rPr>
              <w:t>%</w:t>
            </w:r>
          </w:p>
        </w:tc>
        <w:tc>
          <w:tcPr>
            <w:tcW w:w="1116" w:type="dxa"/>
            <w:shd w:val="clear" w:color="auto" w:fill="F2F2F2"/>
            <w:vAlign w:val="center"/>
          </w:tcPr>
          <w:p w:rsidR="00A47502" w:rsidRPr="003B5E85" w:rsidRDefault="00A47502" w:rsidP="00A47502">
            <w:pPr>
              <w:jc w:val="center"/>
              <w:rPr>
                <w:b/>
                <w:sz w:val="22"/>
                <w:szCs w:val="24"/>
              </w:rPr>
            </w:pPr>
            <w:r w:rsidRPr="003B5E85">
              <w:rPr>
                <w:b/>
                <w:sz w:val="22"/>
                <w:szCs w:val="24"/>
              </w:rPr>
              <w:t>Број</w:t>
            </w:r>
          </w:p>
        </w:tc>
        <w:tc>
          <w:tcPr>
            <w:tcW w:w="1009" w:type="dxa"/>
            <w:shd w:val="clear" w:color="auto" w:fill="F2F2F2"/>
            <w:vAlign w:val="center"/>
          </w:tcPr>
          <w:p w:rsidR="00A47502" w:rsidRPr="003B5E85" w:rsidRDefault="00A47502" w:rsidP="00A47502">
            <w:pPr>
              <w:jc w:val="center"/>
              <w:rPr>
                <w:b/>
                <w:sz w:val="22"/>
                <w:szCs w:val="24"/>
              </w:rPr>
            </w:pPr>
            <w:r w:rsidRPr="003B5E85">
              <w:rPr>
                <w:b/>
                <w:sz w:val="22"/>
                <w:szCs w:val="24"/>
              </w:rPr>
              <w:t>%</w:t>
            </w:r>
          </w:p>
        </w:tc>
        <w:tc>
          <w:tcPr>
            <w:tcW w:w="875" w:type="dxa"/>
            <w:shd w:val="clear" w:color="auto" w:fill="F2F2F2"/>
            <w:vAlign w:val="center"/>
          </w:tcPr>
          <w:p w:rsidR="00A47502" w:rsidRPr="003B5E85" w:rsidRDefault="00A47502" w:rsidP="00A47502">
            <w:pPr>
              <w:jc w:val="center"/>
              <w:rPr>
                <w:b/>
                <w:sz w:val="22"/>
                <w:szCs w:val="24"/>
              </w:rPr>
            </w:pPr>
            <w:r w:rsidRPr="003B5E85">
              <w:rPr>
                <w:b/>
                <w:sz w:val="22"/>
                <w:szCs w:val="24"/>
              </w:rPr>
              <w:t>Број</w:t>
            </w:r>
          </w:p>
        </w:tc>
        <w:tc>
          <w:tcPr>
            <w:tcW w:w="878" w:type="dxa"/>
            <w:shd w:val="clear" w:color="auto" w:fill="F2F2F2"/>
            <w:vAlign w:val="center"/>
          </w:tcPr>
          <w:p w:rsidR="00A47502" w:rsidRPr="003B5E85" w:rsidRDefault="00A47502" w:rsidP="00A47502">
            <w:pPr>
              <w:jc w:val="center"/>
              <w:rPr>
                <w:b/>
                <w:sz w:val="22"/>
                <w:szCs w:val="24"/>
              </w:rPr>
            </w:pPr>
            <w:r w:rsidRPr="003B5E85">
              <w:rPr>
                <w:b/>
                <w:sz w:val="22"/>
                <w:szCs w:val="24"/>
              </w:rPr>
              <w:t>%</w:t>
            </w:r>
          </w:p>
        </w:tc>
        <w:tc>
          <w:tcPr>
            <w:tcW w:w="1160" w:type="dxa"/>
            <w:shd w:val="clear" w:color="auto" w:fill="F2F2F2"/>
            <w:vAlign w:val="center"/>
          </w:tcPr>
          <w:p w:rsidR="00A47502" w:rsidRPr="003B5E85" w:rsidRDefault="00A47502" w:rsidP="00A47502">
            <w:pPr>
              <w:jc w:val="center"/>
              <w:rPr>
                <w:b/>
                <w:sz w:val="22"/>
                <w:szCs w:val="24"/>
              </w:rPr>
            </w:pPr>
            <w:r w:rsidRPr="003B5E85">
              <w:rPr>
                <w:b/>
                <w:sz w:val="22"/>
                <w:szCs w:val="24"/>
              </w:rPr>
              <w:t>Број</w:t>
            </w:r>
          </w:p>
        </w:tc>
        <w:tc>
          <w:tcPr>
            <w:tcW w:w="1034" w:type="dxa"/>
            <w:shd w:val="clear" w:color="auto" w:fill="F2F2F2"/>
            <w:vAlign w:val="center"/>
          </w:tcPr>
          <w:p w:rsidR="00A47502" w:rsidRPr="003B5E85" w:rsidRDefault="00A47502" w:rsidP="00A47502">
            <w:pPr>
              <w:jc w:val="center"/>
              <w:rPr>
                <w:b/>
                <w:sz w:val="22"/>
                <w:szCs w:val="24"/>
              </w:rPr>
            </w:pPr>
            <w:r w:rsidRPr="003B5E85">
              <w:rPr>
                <w:b/>
                <w:sz w:val="22"/>
                <w:szCs w:val="24"/>
              </w:rPr>
              <w:t>%</w:t>
            </w:r>
          </w:p>
        </w:tc>
      </w:tr>
      <w:tr w:rsidR="00A47502" w:rsidRPr="003B5E85" w:rsidTr="00A47502">
        <w:tc>
          <w:tcPr>
            <w:tcW w:w="1514" w:type="dxa"/>
          </w:tcPr>
          <w:p w:rsidR="00A47502" w:rsidRPr="003B5E85" w:rsidRDefault="00A47502" w:rsidP="00A47502">
            <w:pPr>
              <w:rPr>
                <w:sz w:val="22"/>
                <w:szCs w:val="24"/>
              </w:rPr>
            </w:pPr>
            <w:r w:rsidRPr="003B5E85">
              <w:rPr>
                <w:sz w:val="22"/>
                <w:szCs w:val="24"/>
              </w:rPr>
              <w:t>Охрид</w:t>
            </w:r>
          </w:p>
        </w:tc>
        <w:tc>
          <w:tcPr>
            <w:tcW w:w="832" w:type="dxa"/>
            <w:vAlign w:val="center"/>
          </w:tcPr>
          <w:p w:rsidR="00A47502" w:rsidRPr="003B5E85" w:rsidRDefault="00A47502" w:rsidP="00A47502">
            <w:pPr>
              <w:jc w:val="center"/>
              <w:rPr>
                <w:sz w:val="22"/>
                <w:szCs w:val="24"/>
              </w:rPr>
            </w:pPr>
            <w:r w:rsidRPr="003B5E85">
              <w:rPr>
                <w:sz w:val="22"/>
                <w:szCs w:val="24"/>
              </w:rPr>
              <w:t>72</w:t>
            </w:r>
          </w:p>
        </w:tc>
        <w:tc>
          <w:tcPr>
            <w:tcW w:w="824" w:type="dxa"/>
            <w:vAlign w:val="center"/>
          </w:tcPr>
          <w:p w:rsidR="00A47502" w:rsidRPr="003B5E85" w:rsidRDefault="00A47502" w:rsidP="00A47502">
            <w:pPr>
              <w:jc w:val="center"/>
              <w:rPr>
                <w:sz w:val="22"/>
                <w:szCs w:val="24"/>
              </w:rPr>
            </w:pPr>
            <w:r w:rsidRPr="003B5E85">
              <w:rPr>
                <w:sz w:val="22"/>
                <w:szCs w:val="24"/>
              </w:rPr>
              <w:t>14.81</w:t>
            </w:r>
          </w:p>
        </w:tc>
        <w:tc>
          <w:tcPr>
            <w:tcW w:w="1116" w:type="dxa"/>
            <w:vAlign w:val="center"/>
          </w:tcPr>
          <w:p w:rsidR="00A47502" w:rsidRPr="003B5E85" w:rsidRDefault="00A47502" w:rsidP="00A47502">
            <w:pPr>
              <w:jc w:val="center"/>
              <w:rPr>
                <w:sz w:val="22"/>
                <w:szCs w:val="24"/>
              </w:rPr>
            </w:pPr>
            <w:r w:rsidRPr="003B5E85">
              <w:rPr>
                <w:sz w:val="22"/>
                <w:szCs w:val="24"/>
              </w:rPr>
              <w:t>4538</w:t>
            </w:r>
          </w:p>
        </w:tc>
        <w:tc>
          <w:tcPr>
            <w:tcW w:w="1009" w:type="dxa"/>
            <w:vAlign w:val="center"/>
          </w:tcPr>
          <w:p w:rsidR="00A47502" w:rsidRPr="003B5E85" w:rsidRDefault="00A47502" w:rsidP="00A47502">
            <w:pPr>
              <w:jc w:val="center"/>
              <w:rPr>
                <w:sz w:val="22"/>
                <w:szCs w:val="24"/>
              </w:rPr>
            </w:pPr>
            <w:r w:rsidRPr="003B5E85">
              <w:rPr>
                <w:sz w:val="22"/>
                <w:szCs w:val="24"/>
              </w:rPr>
              <w:t>27.83</w:t>
            </w:r>
          </w:p>
        </w:tc>
        <w:tc>
          <w:tcPr>
            <w:tcW w:w="875" w:type="dxa"/>
            <w:vAlign w:val="center"/>
          </w:tcPr>
          <w:p w:rsidR="00A47502" w:rsidRPr="003B5E85" w:rsidRDefault="00A47502" w:rsidP="00A47502">
            <w:pPr>
              <w:jc w:val="center"/>
              <w:rPr>
                <w:sz w:val="22"/>
                <w:szCs w:val="24"/>
              </w:rPr>
            </w:pPr>
            <w:r w:rsidRPr="003B5E85">
              <w:rPr>
                <w:sz w:val="22"/>
                <w:szCs w:val="24"/>
              </w:rPr>
              <w:t>12422</w:t>
            </w:r>
          </w:p>
        </w:tc>
        <w:tc>
          <w:tcPr>
            <w:tcW w:w="878" w:type="dxa"/>
            <w:vAlign w:val="center"/>
          </w:tcPr>
          <w:p w:rsidR="00A47502" w:rsidRPr="003B5E85" w:rsidRDefault="00A47502" w:rsidP="00A47502">
            <w:pPr>
              <w:jc w:val="center"/>
              <w:rPr>
                <w:sz w:val="22"/>
                <w:szCs w:val="24"/>
              </w:rPr>
            </w:pPr>
            <w:r w:rsidRPr="003B5E85">
              <w:rPr>
                <w:sz w:val="22"/>
                <w:szCs w:val="24"/>
              </w:rPr>
              <w:t>27.52</w:t>
            </w:r>
          </w:p>
        </w:tc>
        <w:tc>
          <w:tcPr>
            <w:tcW w:w="1160" w:type="dxa"/>
            <w:vAlign w:val="center"/>
          </w:tcPr>
          <w:p w:rsidR="00A47502" w:rsidRPr="003B5E85" w:rsidRDefault="00A47502" w:rsidP="00A47502">
            <w:pPr>
              <w:jc w:val="center"/>
              <w:rPr>
                <w:sz w:val="22"/>
                <w:szCs w:val="24"/>
              </w:rPr>
            </w:pPr>
            <w:r w:rsidRPr="003B5E85">
              <w:rPr>
                <w:sz w:val="22"/>
                <w:szCs w:val="24"/>
              </w:rPr>
              <w:t>929</w:t>
            </w:r>
          </w:p>
        </w:tc>
        <w:tc>
          <w:tcPr>
            <w:tcW w:w="1034" w:type="dxa"/>
            <w:vAlign w:val="center"/>
          </w:tcPr>
          <w:p w:rsidR="00A47502" w:rsidRPr="003B5E85" w:rsidRDefault="00A47502" w:rsidP="00A47502">
            <w:pPr>
              <w:jc w:val="center"/>
              <w:rPr>
                <w:sz w:val="22"/>
                <w:szCs w:val="24"/>
              </w:rPr>
            </w:pPr>
            <w:r w:rsidRPr="003B5E85">
              <w:rPr>
                <w:sz w:val="22"/>
                <w:szCs w:val="24"/>
              </w:rPr>
              <w:t>17.06</w:t>
            </w:r>
          </w:p>
        </w:tc>
      </w:tr>
      <w:tr w:rsidR="00A47502" w:rsidRPr="003B5E85" w:rsidTr="00A47502">
        <w:tc>
          <w:tcPr>
            <w:tcW w:w="1514" w:type="dxa"/>
          </w:tcPr>
          <w:p w:rsidR="00A47502" w:rsidRPr="003B5E85" w:rsidRDefault="00A47502" w:rsidP="00A47502">
            <w:pPr>
              <w:rPr>
                <w:sz w:val="22"/>
                <w:szCs w:val="24"/>
              </w:rPr>
            </w:pPr>
            <w:r w:rsidRPr="003B5E85">
              <w:rPr>
                <w:sz w:val="22"/>
                <w:szCs w:val="24"/>
              </w:rPr>
              <w:t>Скопје</w:t>
            </w:r>
          </w:p>
        </w:tc>
        <w:tc>
          <w:tcPr>
            <w:tcW w:w="832" w:type="dxa"/>
            <w:vAlign w:val="center"/>
          </w:tcPr>
          <w:p w:rsidR="00A47502" w:rsidRPr="003B5E85" w:rsidRDefault="00A47502" w:rsidP="00A47502">
            <w:pPr>
              <w:jc w:val="center"/>
              <w:rPr>
                <w:sz w:val="22"/>
                <w:szCs w:val="24"/>
              </w:rPr>
            </w:pPr>
            <w:r w:rsidRPr="003B5E85">
              <w:rPr>
                <w:sz w:val="22"/>
                <w:szCs w:val="24"/>
              </w:rPr>
              <w:t>69</w:t>
            </w:r>
          </w:p>
        </w:tc>
        <w:tc>
          <w:tcPr>
            <w:tcW w:w="824" w:type="dxa"/>
            <w:vAlign w:val="center"/>
          </w:tcPr>
          <w:p w:rsidR="00A47502" w:rsidRPr="003B5E85" w:rsidRDefault="00A47502" w:rsidP="00A47502">
            <w:pPr>
              <w:jc w:val="center"/>
              <w:rPr>
                <w:sz w:val="22"/>
                <w:szCs w:val="24"/>
              </w:rPr>
            </w:pPr>
            <w:r w:rsidRPr="003B5E85">
              <w:rPr>
                <w:sz w:val="22"/>
                <w:szCs w:val="24"/>
              </w:rPr>
              <w:t>14.20</w:t>
            </w:r>
          </w:p>
        </w:tc>
        <w:tc>
          <w:tcPr>
            <w:tcW w:w="1116" w:type="dxa"/>
            <w:vAlign w:val="center"/>
          </w:tcPr>
          <w:p w:rsidR="00A47502" w:rsidRPr="003B5E85" w:rsidRDefault="00A47502" w:rsidP="00A47502">
            <w:pPr>
              <w:jc w:val="center"/>
              <w:rPr>
                <w:sz w:val="22"/>
                <w:szCs w:val="24"/>
              </w:rPr>
            </w:pPr>
            <w:r w:rsidRPr="003B5E85">
              <w:rPr>
                <w:sz w:val="22"/>
                <w:szCs w:val="24"/>
              </w:rPr>
              <w:t>2240</w:t>
            </w:r>
          </w:p>
        </w:tc>
        <w:tc>
          <w:tcPr>
            <w:tcW w:w="1009" w:type="dxa"/>
            <w:vAlign w:val="center"/>
          </w:tcPr>
          <w:p w:rsidR="00A47502" w:rsidRPr="003B5E85" w:rsidRDefault="00A47502" w:rsidP="00A47502">
            <w:pPr>
              <w:jc w:val="center"/>
              <w:rPr>
                <w:sz w:val="22"/>
                <w:szCs w:val="24"/>
              </w:rPr>
            </w:pPr>
            <w:r w:rsidRPr="003B5E85">
              <w:rPr>
                <w:sz w:val="22"/>
                <w:szCs w:val="24"/>
              </w:rPr>
              <w:t>13.74</w:t>
            </w:r>
          </w:p>
        </w:tc>
        <w:tc>
          <w:tcPr>
            <w:tcW w:w="875" w:type="dxa"/>
            <w:vAlign w:val="center"/>
          </w:tcPr>
          <w:p w:rsidR="00A47502" w:rsidRPr="003B5E85" w:rsidRDefault="00A47502" w:rsidP="00A47502">
            <w:pPr>
              <w:jc w:val="center"/>
              <w:rPr>
                <w:sz w:val="22"/>
                <w:szCs w:val="24"/>
              </w:rPr>
            </w:pPr>
            <w:r w:rsidRPr="003B5E85">
              <w:rPr>
                <w:sz w:val="22"/>
                <w:szCs w:val="24"/>
              </w:rPr>
              <w:t>5591</w:t>
            </w:r>
          </w:p>
        </w:tc>
        <w:tc>
          <w:tcPr>
            <w:tcW w:w="878" w:type="dxa"/>
            <w:vAlign w:val="center"/>
          </w:tcPr>
          <w:p w:rsidR="00A47502" w:rsidRPr="003B5E85" w:rsidRDefault="00A47502" w:rsidP="00A47502">
            <w:pPr>
              <w:jc w:val="center"/>
              <w:rPr>
                <w:sz w:val="22"/>
                <w:szCs w:val="24"/>
              </w:rPr>
            </w:pPr>
            <w:r w:rsidRPr="003B5E85">
              <w:rPr>
                <w:sz w:val="22"/>
                <w:szCs w:val="24"/>
              </w:rPr>
              <w:t>12.39</w:t>
            </w:r>
          </w:p>
        </w:tc>
        <w:tc>
          <w:tcPr>
            <w:tcW w:w="1160" w:type="dxa"/>
            <w:vAlign w:val="center"/>
          </w:tcPr>
          <w:p w:rsidR="00A47502" w:rsidRPr="003B5E85" w:rsidRDefault="00A47502" w:rsidP="00A47502">
            <w:pPr>
              <w:jc w:val="center"/>
              <w:rPr>
                <w:sz w:val="22"/>
                <w:szCs w:val="24"/>
              </w:rPr>
            </w:pPr>
            <w:r w:rsidRPr="003B5E85">
              <w:rPr>
                <w:sz w:val="22"/>
                <w:szCs w:val="24"/>
              </w:rPr>
              <w:t>1054</w:t>
            </w:r>
          </w:p>
        </w:tc>
        <w:tc>
          <w:tcPr>
            <w:tcW w:w="1034" w:type="dxa"/>
            <w:vAlign w:val="center"/>
          </w:tcPr>
          <w:p w:rsidR="00A47502" w:rsidRPr="003B5E85" w:rsidRDefault="00A47502" w:rsidP="00A47502">
            <w:pPr>
              <w:jc w:val="center"/>
              <w:rPr>
                <w:sz w:val="22"/>
                <w:szCs w:val="24"/>
              </w:rPr>
            </w:pPr>
            <w:r w:rsidRPr="003B5E85">
              <w:rPr>
                <w:sz w:val="22"/>
                <w:szCs w:val="24"/>
              </w:rPr>
              <w:t>19.36</w:t>
            </w:r>
          </w:p>
        </w:tc>
      </w:tr>
      <w:tr w:rsidR="00A47502" w:rsidRPr="003B5E85" w:rsidTr="00A47502">
        <w:tc>
          <w:tcPr>
            <w:tcW w:w="1514" w:type="dxa"/>
          </w:tcPr>
          <w:p w:rsidR="00A47502" w:rsidRPr="003B5E85" w:rsidRDefault="00A47502" w:rsidP="00A47502">
            <w:pPr>
              <w:rPr>
                <w:sz w:val="22"/>
                <w:szCs w:val="24"/>
              </w:rPr>
            </w:pPr>
            <w:r w:rsidRPr="003B5E85">
              <w:rPr>
                <w:sz w:val="22"/>
                <w:szCs w:val="24"/>
              </w:rPr>
              <w:t>Ресен</w:t>
            </w:r>
          </w:p>
        </w:tc>
        <w:tc>
          <w:tcPr>
            <w:tcW w:w="832" w:type="dxa"/>
            <w:vAlign w:val="center"/>
          </w:tcPr>
          <w:p w:rsidR="00A47502" w:rsidRPr="003B5E85" w:rsidRDefault="00A47502" w:rsidP="00A47502">
            <w:pPr>
              <w:jc w:val="center"/>
              <w:rPr>
                <w:sz w:val="22"/>
                <w:szCs w:val="24"/>
              </w:rPr>
            </w:pPr>
            <w:r w:rsidRPr="003B5E85">
              <w:rPr>
                <w:sz w:val="22"/>
                <w:szCs w:val="24"/>
              </w:rPr>
              <w:t>61</w:t>
            </w:r>
          </w:p>
        </w:tc>
        <w:tc>
          <w:tcPr>
            <w:tcW w:w="824" w:type="dxa"/>
            <w:vAlign w:val="center"/>
          </w:tcPr>
          <w:p w:rsidR="00A47502" w:rsidRPr="003B5E85" w:rsidRDefault="00A47502" w:rsidP="00A47502">
            <w:pPr>
              <w:jc w:val="center"/>
              <w:rPr>
                <w:sz w:val="22"/>
                <w:szCs w:val="24"/>
              </w:rPr>
            </w:pPr>
            <w:r w:rsidRPr="003B5E85">
              <w:rPr>
                <w:sz w:val="22"/>
                <w:szCs w:val="24"/>
              </w:rPr>
              <w:t>12.55</w:t>
            </w:r>
          </w:p>
        </w:tc>
        <w:tc>
          <w:tcPr>
            <w:tcW w:w="1116" w:type="dxa"/>
            <w:vAlign w:val="center"/>
          </w:tcPr>
          <w:p w:rsidR="00A47502" w:rsidRPr="003B5E85" w:rsidRDefault="00A47502" w:rsidP="00A47502">
            <w:pPr>
              <w:jc w:val="center"/>
              <w:rPr>
                <w:sz w:val="22"/>
                <w:szCs w:val="24"/>
              </w:rPr>
            </w:pPr>
            <w:r w:rsidRPr="003B5E85">
              <w:rPr>
                <w:sz w:val="22"/>
                <w:szCs w:val="24"/>
              </w:rPr>
              <w:t>1701</w:t>
            </w:r>
          </w:p>
        </w:tc>
        <w:tc>
          <w:tcPr>
            <w:tcW w:w="1009" w:type="dxa"/>
            <w:vAlign w:val="center"/>
          </w:tcPr>
          <w:p w:rsidR="00A47502" w:rsidRPr="003B5E85" w:rsidRDefault="00A47502" w:rsidP="00A47502">
            <w:pPr>
              <w:jc w:val="center"/>
              <w:rPr>
                <w:sz w:val="22"/>
                <w:szCs w:val="24"/>
              </w:rPr>
            </w:pPr>
            <w:r w:rsidRPr="003B5E85">
              <w:rPr>
                <w:sz w:val="22"/>
                <w:szCs w:val="24"/>
              </w:rPr>
              <w:t>10.43</w:t>
            </w:r>
          </w:p>
        </w:tc>
        <w:tc>
          <w:tcPr>
            <w:tcW w:w="875" w:type="dxa"/>
            <w:vAlign w:val="center"/>
          </w:tcPr>
          <w:p w:rsidR="00A47502" w:rsidRPr="003B5E85" w:rsidRDefault="00A47502" w:rsidP="00A47502">
            <w:pPr>
              <w:jc w:val="center"/>
              <w:rPr>
                <w:sz w:val="22"/>
                <w:szCs w:val="24"/>
              </w:rPr>
            </w:pPr>
            <w:r w:rsidRPr="003B5E85">
              <w:rPr>
                <w:sz w:val="22"/>
                <w:szCs w:val="24"/>
              </w:rPr>
              <w:t>5390</w:t>
            </w:r>
          </w:p>
        </w:tc>
        <w:tc>
          <w:tcPr>
            <w:tcW w:w="878" w:type="dxa"/>
            <w:vAlign w:val="center"/>
          </w:tcPr>
          <w:p w:rsidR="00A47502" w:rsidRPr="003B5E85" w:rsidRDefault="00A47502" w:rsidP="00A47502">
            <w:pPr>
              <w:jc w:val="center"/>
              <w:rPr>
                <w:sz w:val="22"/>
                <w:szCs w:val="24"/>
              </w:rPr>
            </w:pPr>
            <w:r w:rsidRPr="003B5E85">
              <w:rPr>
                <w:sz w:val="22"/>
                <w:szCs w:val="24"/>
              </w:rPr>
              <w:t>11.94</w:t>
            </w:r>
          </w:p>
        </w:tc>
        <w:tc>
          <w:tcPr>
            <w:tcW w:w="1160" w:type="dxa"/>
            <w:vAlign w:val="center"/>
          </w:tcPr>
          <w:p w:rsidR="00A47502" w:rsidRPr="003B5E85" w:rsidRDefault="00A47502" w:rsidP="00A47502">
            <w:pPr>
              <w:jc w:val="center"/>
              <w:rPr>
                <w:sz w:val="22"/>
                <w:szCs w:val="24"/>
              </w:rPr>
            </w:pPr>
            <w:r w:rsidRPr="003B5E85">
              <w:rPr>
                <w:sz w:val="22"/>
                <w:szCs w:val="24"/>
              </w:rPr>
              <w:t>162</w:t>
            </w:r>
          </w:p>
        </w:tc>
        <w:tc>
          <w:tcPr>
            <w:tcW w:w="1034" w:type="dxa"/>
            <w:vAlign w:val="center"/>
          </w:tcPr>
          <w:p w:rsidR="00A47502" w:rsidRPr="003B5E85" w:rsidRDefault="00A47502" w:rsidP="00A47502">
            <w:pPr>
              <w:jc w:val="center"/>
              <w:rPr>
                <w:sz w:val="22"/>
                <w:szCs w:val="24"/>
              </w:rPr>
            </w:pPr>
            <w:r w:rsidRPr="003B5E85">
              <w:rPr>
                <w:sz w:val="22"/>
                <w:szCs w:val="24"/>
              </w:rPr>
              <w:t>2.98</w:t>
            </w:r>
          </w:p>
        </w:tc>
      </w:tr>
      <w:tr w:rsidR="00A47502" w:rsidRPr="003B5E85" w:rsidTr="00A47502">
        <w:tc>
          <w:tcPr>
            <w:tcW w:w="1514" w:type="dxa"/>
            <w:shd w:val="clear" w:color="auto" w:fill="FFFF00"/>
          </w:tcPr>
          <w:p w:rsidR="00A47502" w:rsidRPr="003B5E85" w:rsidRDefault="00A47502" w:rsidP="00A47502">
            <w:pPr>
              <w:rPr>
                <w:sz w:val="22"/>
                <w:szCs w:val="24"/>
              </w:rPr>
            </w:pPr>
            <w:r w:rsidRPr="003B5E85">
              <w:rPr>
                <w:sz w:val="22"/>
                <w:szCs w:val="24"/>
              </w:rPr>
              <w:t>Дојран</w:t>
            </w:r>
          </w:p>
        </w:tc>
        <w:tc>
          <w:tcPr>
            <w:tcW w:w="832" w:type="dxa"/>
            <w:shd w:val="clear" w:color="auto" w:fill="FFFF00"/>
            <w:vAlign w:val="center"/>
          </w:tcPr>
          <w:p w:rsidR="00A47502" w:rsidRPr="003B5E85" w:rsidRDefault="00A47502" w:rsidP="00A47502">
            <w:pPr>
              <w:jc w:val="center"/>
              <w:rPr>
                <w:sz w:val="22"/>
                <w:szCs w:val="24"/>
              </w:rPr>
            </w:pPr>
            <w:r w:rsidRPr="003B5E85">
              <w:rPr>
                <w:sz w:val="22"/>
                <w:szCs w:val="24"/>
              </w:rPr>
              <w:t>49</w:t>
            </w:r>
          </w:p>
        </w:tc>
        <w:tc>
          <w:tcPr>
            <w:tcW w:w="824" w:type="dxa"/>
            <w:shd w:val="clear" w:color="auto" w:fill="FFFF00"/>
            <w:vAlign w:val="center"/>
          </w:tcPr>
          <w:p w:rsidR="00A47502" w:rsidRPr="003B5E85" w:rsidRDefault="00A47502" w:rsidP="00A47502">
            <w:pPr>
              <w:jc w:val="center"/>
              <w:rPr>
                <w:sz w:val="22"/>
                <w:szCs w:val="24"/>
              </w:rPr>
            </w:pPr>
            <w:r w:rsidRPr="003B5E85">
              <w:rPr>
                <w:sz w:val="22"/>
                <w:szCs w:val="24"/>
              </w:rPr>
              <w:t>10.08</w:t>
            </w:r>
          </w:p>
        </w:tc>
        <w:tc>
          <w:tcPr>
            <w:tcW w:w="1116" w:type="dxa"/>
            <w:shd w:val="clear" w:color="auto" w:fill="FFFF00"/>
            <w:vAlign w:val="center"/>
          </w:tcPr>
          <w:p w:rsidR="00A47502" w:rsidRPr="003B5E85" w:rsidRDefault="00A47502" w:rsidP="00A47502">
            <w:pPr>
              <w:jc w:val="center"/>
              <w:rPr>
                <w:sz w:val="22"/>
                <w:szCs w:val="24"/>
              </w:rPr>
            </w:pPr>
            <w:r w:rsidRPr="003B5E85">
              <w:rPr>
                <w:sz w:val="22"/>
                <w:szCs w:val="24"/>
              </w:rPr>
              <w:t>1216</w:t>
            </w:r>
          </w:p>
        </w:tc>
        <w:tc>
          <w:tcPr>
            <w:tcW w:w="1009" w:type="dxa"/>
            <w:shd w:val="clear" w:color="auto" w:fill="FFFF00"/>
            <w:vAlign w:val="center"/>
          </w:tcPr>
          <w:p w:rsidR="00A47502" w:rsidRPr="003B5E85" w:rsidRDefault="00A47502" w:rsidP="00A47502">
            <w:pPr>
              <w:jc w:val="center"/>
              <w:rPr>
                <w:sz w:val="22"/>
                <w:szCs w:val="24"/>
              </w:rPr>
            </w:pPr>
            <w:r w:rsidRPr="003B5E85">
              <w:rPr>
                <w:sz w:val="22"/>
                <w:szCs w:val="24"/>
              </w:rPr>
              <w:t>7.46</w:t>
            </w:r>
          </w:p>
        </w:tc>
        <w:tc>
          <w:tcPr>
            <w:tcW w:w="875" w:type="dxa"/>
            <w:shd w:val="clear" w:color="auto" w:fill="FFFF00"/>
            <w:vAlign w:val="center"/>
          </w:tcPr>
          <w:p w:rsidR="00A47502" w:rsidRPr="003B5E85" w:rsidRDefault="00A47502" w:rsidP="00A47502">
            <w:pPr>
              <w:jc w:val="center"/>
              <w:rPr>
                <w:sz w:val="22"/>
                <w:szCs w:val="24"/>
              </w:rPr>
            </w:pPr>
            <w:r w:rsidRPr="003B5E85">
              <w:rPr>
                <w:sz w:val="22"/>
                <w:szCs w:val="24"/>
              </w:rPr>
              <w:t>3891</w:t>
            </w:r>
          </w:p>
        </w:tc>
        <w:tc>
          <w:tcPr>
            <w:tcW w:w="878" w:type="dxa"/>
            <w:shd w:val="clear" w:color="auto" w:fill="FFFF00"/>
            <w:vAlign w:val="center"/>
          </w:tcPr>
          <w:p w:rsidR="00A47502" w:rsidRPr="003B5E85" w:rsidRDefault="00A47502" w:rsidP="00A47502">
            <w:pPr>
              <w:jc w:val="center"/>
              <w:rPr>
                <w:sz w:val="22"/>
                <w:szCs w:val="24"/>
              </w:rPr>
            </w:pPr>
            <w:r w:rsidRPr="003B5E85">
              <w:rPr>
                <w:sz w:val="22"/>
                <w:szCs w:val="24"/>
              </w:rPr>
              <w:t>8.62</w:t>
            </w:r>
          </w:p>
        </w:tc>
        <w:tc>
          <w:tcPr>
            <w:tcW w:w="1160" w:type="dxa"/>
            <w:shd w:val="clear" w:color="auto" w:fill="FFFF00"/>
            <w:vAlign w:val="center"/>
          </w:tcPr>
          <w:p w:rsidR="00A47502" w:rsidRPr="003B5E85" w:rsidRDefault="00A47502" w:rsidP="00A47502">
            <w:pPr>
              <w:jc w:val="center"/>
              <w:rPr>
                <w:sz w:val="22"/>
                <w:szCs w:val="24"/>
              </w:rPr>
            </w:pPr>
            <w:r w:rsidRPr="003B5E85">
              <w:rPr>
                <w:sz w:val="22"/>
                <w:szCs w:val="24"/>
              </w:rPr>
              <w:t>142</w:t>
            </w:r>
          </w:p>
        </w:tc>
        <w:tc>
          <w:tcPr>
            <w:tcW w:w="1034" w:type="dxa"/>
            <w:shd w:val="clear" w:color="auto" w:fill="FFFF00"/>
            <w:vAlign w:val="center"/>
          </w:tcPr>
          <w:p w:rsidR="00A47502" w:rsidRPr="003B5E85" w:rsidRDefault="00A47502" w:rsidP="00A47502">
            <w:pPr>
              <w:jc w:val="center"/>
              <w:rPr>
                <w:sz w:val="22"/>
                <w:szCs w:val="24"/>
              </w:rPr>
            </w:pPr>
            <w:r w:rsidRPr="003B5E85">
              <w:rPr>
                <w:sz w:val="22"/>
                <w:szCs w:val="24"/>
              </w:rPr>
              <w:t>2.61</w:t>
            </w:r>
          </w:p>
        </w:tc>
      </w:tr>
      <w:tr w:rsidR="00A47502" w:rsidRPr="003B5E85" w:rsidTr="00A47502">
        <w:tc>
          <w:tcPr>
            <w:tcW w:w="1514" w:type="dxa"/>
          </w:tcPr>
          <w:p w:rsidR="00A47502" w:rsidRPr="003B5E85" w:rsidRDefault="00A47502" w:rsidP="00A47502">
            <w:pPr>
              <w:rPr>
                <w:sz w:val="22"/>
                <w:szCs w:val="24"/>
              </w:rPr>
            </w:pPr>
            <w:r w:rsidRPr="003B5E85">
              <w:rPr>
                <w:sz w:val="22"/>
                <w:szCs w:val="24"/>
              </w:rPr>
              <w:t>Струга</w:t>
            </w:r>
          </w:p>
        </w:tc>
        <w:tc>
          <w:tcPr>
            <w:tcW w:w="832" w:type="dxa"/>
            <w:vAlign w:val="center"/>
          </w:tcPr>
          <w:p w:rsidR="00A47502" w:rsidRPr="003B5E85" w:rsidRDefault="00A47502" w:rsidP="00A47502">
            <w:pPr>
              <w:jc w:val="center"/>
              <w:rPr>
                <w:sz w:val="22"/>
                <w:szCs w:val="24"/>
              </w:rPr>
            </w:pPr>
            <w:r w:rsidRPr="003B5E85">
              <w:rPr>
                <w:sz w:val="22"/>
                <w:szCs w:val="24"/>
              </w:rPr>
              <w:t>24</w:t>
            </w:r>
          </w:p>
        </w:tc>
        <w:tc>
          <w:tcPr>
            <w:tcW w:w="824" w:type="dxa"/>
            <w:vAlign w:val="center"/>
          </w:tcPr>
          <w:p w:rsidR="00A47502" w:rsidRPr="003B5E85" w:rsidRDefault="00A47502" w:rsidP="00A47502">
            <w:pPr>
              <w:jc w:val="center"/>
              <w:rPr>
                <w:sz w:val="22"/>
                <w:szCs w:val="24"/>
              </w:rPr>
            </w:pPr>
            <w:r w:rsidRPr="003B5E85">
              <w:rPr>
                <w:sz w:val="22"/>
                <w:szCs w:val="24"/>
              </w:rPr>
              <w:t>4.94</w:t>
            </w:r>
          </w:p>
        </w:tc>
        <w:tc>
          <w:tcPr>
            <w:tcW w:w="1116" w:type="dxa"/>
            <w:vAlign w:val="center"/>
          </w:tcPr>
          <w:p w:rsidR="00A47502" w:rsidRPr="003B5E85" w:rsidRDefault="00A47502" w:rsidP="00A47502">
            <w:pPr>
              <w:jc w:val="center"/>
              <w:rPr>
                <w:sz w:val="22"/>
                <w:szCs w:val="24"/>
              </w:rPr>
            </w:pPr>
            <w:r w:rsidRPr="003B5E85">
              <w:rPr>
                <w:sz w:val="22"/>
                <w:szCs w:val="24"/>
              </w:rPr>
              <w:t>1731</w:t>
            </w:r>
          </w:p>
        </w:tc>
        <w:tc>
          <w:tcPr>
            <w:tcW w:w="1009" w:type="dxa"/>
            <w:vAlign w:val="center"/>
          </w:tcPr>
          <w:p w:rsidR="00A47502" w:rsidRPr="003B5E85" w:rsidRDefault="00A47502" w:rsidP="00A47502">
            <w:pPr>
              <w:jc w:val="center"/>
              <w:rPr>
                <w:sz w:val="22"/>
                <w:szCs w:val="24"/>
              </w:rPr>
            </w:pPr>
            <w:r w:rsidRPr="003B5E85">
              <w:rPr>
                <w:sz w:val="22"/>
                <w:szCs w:val="24"/>
              </w:rPr>
              <w:t>10.62</w:t>
            </w:r>
          </w:p>
        </w:tc>
        <w:tc>
          <w:tcPr>
            <w:tcW w:w="875" w:type="dxa"/>
            <w:vAlign w:val="center"/>
          </w:tcPr>
          <w:p w:rsidR="00A47502" w:rsidRPr="003B5E85" w:rsidRDefault="00A47502" w:rsidP="00A47502">
            <w:pPr>
              <w:jc w:val="center"/>
              <w:rPr>
                <w:sz w:val="22"/>
                <w:szCs w:val="24"/>
              </w:rPr>
            </w:pPr>
            <w:r w:rsidRPr="003B5E85">
              <w:rPr>
                <w:sz w:val="22"/>
                <w:szCs w:val="24"/>
              </w:rPr>
              <w:t>4868</w:t>
            </w:r>
          </w:p>
        </w:tc>
        <w:tc>
          <w:tcPr>
            <w:tcW w:w="878" w:type="dxa"/>
            <w:vAlign w:val="center"/>
          </w:tcPr>
          <w:p w:rsidR="00A47502" w:rsidRPr="003B5E85" w:rsidRDefault="00A47502" w:rsidP="00A47502">
            <w:pPr>
              <w:jc w:val="center"/>
              <w:rPr>
                <w:sz w:val="22"/>
                <w:szCs w:val="24"/>
              </w:rPr>
            </w:pPr>
            <w:r w:rsidRPr="003B5E85">
              <w:rPr>
                <w:sz w:val="22"/>
                <w:szCs w:val="24"/>
              </w:rPr>
              <w:t>10.78</w:t>
            </w:r>
          </w:p>
        </w:tc>
        <w:tc>
          <w:tcPr>
            <w:tcW w:w="1160" w:type="dxa"/>
            <w:vAlign w:val="center"/>
          </w:tcPr>
          <w:p w:rsidR="00A47502" w:rsidRPr="003B5E85" w:rsidRDefault="00A47502" w:rsidP="00A47502">
            <w:pPr>
              <w:jc w:val="center"/>
              <w:rPr>
                <w:sz w:val="22"/>
                <w:szCs w:val="24"/>
              </w:rPr>
            </w:pPr>
            <w:r w:rsidRPr="003B5E85">
              <w:rPr>
                <w:sz w:val="22"/>
                <w:szCs w:val="24"/>
              </w:rPr>
              <w:t>265</w:t>
            </w:r>
          </w:p>
        </w:tc>
        <w:tc>
          <w:tcPr>
            <w:tcW w:w="1034" w:type="dxa"/>
            <w:vAlign w:val="center"/>
          </w:tcPr>
          <w:p w:rsidR="00A47502" w:rsidRPr="003B5E85" w:rsidRDefault="00A47502" w:rsidP="00A47502">
            <w:pPr>
              <w:jc w:val="center"/>
              <w:rPr>
                <w:sz w:val="22"/>
                <w:szCs w:val="24"/>
              </w:rPr>
            </w:pPr>
            <w:r w:rsidRPr="003B5E85">
              <w:rPr>
                <w:sz w:val="22"/>
                <w:szCs w:val="24"/>
              </w:rPr>
              <w:t>4.87</w:t>
            </w:r>
          </w:p>
        </w:tc>
      </w:tr>
      <w:tr w:rsidR="00A47502" w:rsidRPr="003B5E85" w:rsidTr="00A47502">
        <w:tc>
          <w:tcPr>
            <w:tcW w:w="1514" w:type="dxa"/>
          </w:tcPr>
          <w:p w:rsidR="00A47502" w:rsidRPr="003B5E85" w:rsidRDefault="00A47502" w:rsidP="00A47502">
            <w:pPr>
              <w:rPr>
                <w:sz w:val="22"/>
                <w:szCs w:val="24"/>
              </w:rPr>
            </w:pPr>
            <w:r w:rsidRPr="003B5E85">
              <w:rPr>
                <w:sz w:val="22"/>
                <w:szCs w:val="24"/>
              </w:rPr>
              <w:t>Тетово</w:t>
            </w:r>
          </w:p>
        </w:tc>
        <w:tc>
          <w:tcPr>
            <w:tcW w:w="832" w:type="dxa"/>
            <w:vAlign w:val="center"/>
          </w:tcPr>
          <w:p w:rsidR="00A47502" w:rsidRPr="003B5E85" w:rsidRDefault="00A47502" w:rsidP="00A47502">
            <w:pPr>
              <w:jc w:val="center"/>
              <w:rPr>
                <w:sz w:val="22"/>
                <w:szCs w:val="24"/>
              </w:rPr>
            </w:pPr>
            <w:r w:rsidRPr="003B5E85">
              <w:rPr>
                <w:sz w:val="22"/>
                <w:szCs w:val="24"/>
              </w:rPr>
              <w:t>19</w:t>
            </w:r>
          </w:p>
        </w:tc>
        <w:tc>
          <w:tcPr>
            <w:tcW w:w="824" w:type="dxa"/>
            <w:vAlign w:val="center"/>
          </w:tcPr>
          <w:p w:rsidR="00A47502" w:rsidRPr="003B5E85" w:rsidRDefault="00A47502" w:rsidP="00A47502">
            <w:pPr>
              <w:jc w:val="center"/>
              <w:rPr>
                <w:sz w:val="22"/>
                <w:szCs w:val="24"/>
              </w:rPr>
            </w:pPr>
            <w:r w:rsidRPr="003B5E85">
              <w:rPr>
                <w:sz w:val="22"/>
                <w:szCs w:val="24"/>
              </w:rPr>
              <w:t>3.91</w:t>
            </w:r>
          </w:p>
        </w:tc>
        <w:tc>
          <w:tcPr>
            <w:tcW w:w="1116" w:type="dxa"/>
            <w:vAlign w:val="center"/>
          </w:tcPr>
          <w:p w:rsidR="00A47502" w:rsidRPr="003B5E85" w:rsidRDefault="00A47502" w:rsidP="00A47502">
            <w:pPr>
              <w:jc w:val="center"/>
              <w:rPr>
                <w:sz w:val="22"/>
                <w:szCs w:val="24"/>
              </w:rPr>
            </w:pPr>
            <w:r w:rsidRPr="003B5E85">
              <w:rPr>
                <w:sz w:val="22"/>
                <w:szCs w:val="24"/>
              </w:rPr>
              <w:t>394</w:t>
            </w:r>
          </w:p>
        </w:tc>
        <w:tc>
          <w:tcPr>
            <w:tcW w:w="1009" w:type="dxa"/>
            <w:vAlign w:val="center"/>
          </w:tcPr>
          <w:p w:rsidR="00A47502" w:rsidRPr="003B5E85" w:rsidRDefault="00A47502" w:rsidP="00A47502">
            <w:pPr>
              <w:jc w:val="center"/>
              <w:rPr>
                <w:sz w:val="22"/>
                <w:szCs w:val="24"/>
              </w:rPr>
            </w:pPr>
            <w:r w:rsidRPr="003B5E85">
              <w:rPr>
                <w:sz w:val="22"/>
                <w:szCs w:val="24"/>
              </w:rPr>
              <w:t>2.42</w:t>
            </w:r>
          </w:p>
        </w:tc>
        <w:tc>
          <w:tcPr>
            <w:tcW w:w="875" w:type="dxa"/>
            <w:vAlign w:val="center"/>
          </w:tcPr>
          <w:p w:rsidR="00A47502" w:rsidRPr="003B5E85" w:rsidRDefault="00A47502" w:rsidP="00A47502">
            <w:pPr>
              <w:jc w:val="center"/>
              <w:rPr>
                <w:sz w:val="22"/>
                <w:szCs w:val="24"/>
              </w:rPr>
            </w:pPr>
            <w:r w:rsidRPr="003B5E85">
              <w:rPr>
                <w:sz w:val="22"/>
                <w:szCs w:val="24"/>
              </w:rPr>
              <w:t>989</w:t>
            </w:r>
          </w:p>
        </w:tc>
        <w:tc>
          <w:tcPr>
            <w:tcW w:w="878" w:type="dxa"/>
            <w:vAlign w:val="center"/>
          </w:tcPr>
          <w:p w:rsidR="00A47502" w:rsidRPr="003B5E85" w:rsidRDefault="00A47502" w:rsidP="00A47502">
            <w:pPr>
              <w:jc w:val="center"/>
              <w:rPr>
                <w:sz w:val="22"/>
                <w:szCs w:val="24"/>
              </w:rPr>
            </w:pPr>
            <w:r w:rsidRPr="003B5E85">
              <w:rPr>
                <w:sz w:val="22"/>
                <w:szCs w:val="24"/>
              </w:rPr>
              <w:t>2.19</w:t>
            </w:r>
          </w:p>
        </w:tc>
        <w:tc>
          <w:tcPr>
            <w:tcW w:w="1160" w:type="dxa"/>
            <w:vAlign w:val="center"/>
          </w:tcPr>
          <w:p w:rsidR="00A47502" w:rsidRPr="003B5E85" w:rsidRDefault="00A47502" w:rsidP="00A47502">
            <w:pPr>
              <w:jc w:val="center"/>
              <w:rPr>
                <w:sz w:val="22"/>
                <w:szCs w:val="24"/>
              </w:rPr>
            </w:pPr>
            <w:r w:rsidRPr="003B5E85">
              <w:rPr>
                <w:sz w:val="22"/>
                <w:szCs w:val="24"/>
              </w:rPr>
              <w:t>114</w:t>
            </w:r>
          </w:p>
        </w:tc>
        <w:tc>
          <w:tcPr>
            <w:tcW w:w="1034" w:type="dxa"/>
            <w:vAlign w:val="center"/>
          </w:tcPr>
          <w:p w:rsidR="00A47502" w:rsidRPr="003B5E85" w:rsidRDefault="00A47502" w:rsidP="00A47502">
            <w:pPr>
              <w:jc w:val="center"/>
              <w:rPr>
                <w:sz w:val="22"/>
                <w:szCs w:val="24"/>
              </w:rPr>
            </w:pPr>
            <w:r w:rsidRPr="003B5E85">
              <w:rPr>
                <w:sz w:val="22"/>
                <w:szCs w:val="24"/>
              </w:rPr>
              <w:t>2.09</w:t>
            </w:r>
          </w:p>
        </w:tc>
      </w:tr>
      <w:tr w:rsidR="00A47502" w:rsidRPr="003B5E85" w:rsidTr="00A47502">
        <w:tc>
          <w:tcPr>
            <w:tcW w:w="1514" w:type="dxa"/>
          </w:tcPr>
          <w:p w:rsidR="00A47502" w:rsidRPr="003B5E85" w:rsidRDefault="00A47502" w:rsidP="00A47502">
            <w:pPr>
              <w:rPr>
                <w:sz w:val="22"/>
                <w:szCs w:val="24"/>
              </w:rPr>
            </w:pPr>
            <w:r w:rsidRPr="003B5E85">
              <w:rPr>
                <w:sz w:val="22"/>
                <w:szCs w:val="24"/>
              </w:rPr>
              <w:t>Битола</w:t>
            </w:r>
          </w:p>
        </w:tc>
        <w:tc>
          <w:tcPr>
            <w:tcW w:w="832" w:type="dxa"/>
            <w:vAlign w:val="center"/>
          </w:tcPr>
          <w:p w:rsidR="00A47502" w:rsidRPr="003B5E85" w:rsidRDefault="00A47502" w:rsidP="00A47502">
            <w:pPr>
              <w:jc w:val="center"/>
              <w:rPr>
                <w:sz w:val="22"/>
                <w:szCs w:val="24"/>
              </w:rPr>
            </w:pPr>
            <w:r w:rsidRPr="003B5E85">
              <w:rPr>
                <w:sz w:val="22"/>
                <w:szCs w:val="24"/>
              </w:rPr>
              <w:t>16</w:t>
            </w:r>
          </w:p>
        </w:tc>
        <w:tc>
          <w:tcPr>
            <w:tcW w:w="824" w:type="dxa"/>
            <w:vAlign w:val="center"/>
          </w:tcPr>
          <w:p w:rsidR="00A47502" w:rsidRPr="003B5E85" w:rsidRDefault="00A47502" w:rsidP="00A47502">
            <w:pPr>
              <w:jc w:val="center"/>
              <w:rPr>
                <w:sz w:val="22"/>
                <w:szCs w:val="24"/>
              </w:rPr>
            </w:pPr>
            <w:r w:rsidRPr="003B5E85">
              <w:rPr>
                <w:sz w:val="22"/>
                <w:szCs w:val="24"/>
              </w:rPr>
              <w:t>3.29</w:t>
            </w:r>
          </w:p>
        </w:tc>
        <w:tc>
          <w:tcPr>
            <w:tcW w:w="1116" w:type="dxa"/>
            <w:vAlign w:val="center"/>
          </w:tcPr>
          <w:p w:rsidR="00A47502" w:rsidRPr="003B5E85" w:rsidRDefault="00A47502" w:rsidP="00A47502">
            <w:pPr>
              <w:jc w:val="center"/>
              <w:rPr>
                <w:sz w:val="22"/>
                <w:szCs w:val="24"/>
              </w:rPr>
            </w:pPr>
            <w:r w:rsidRPr="003B5E85">
              <w:rPr>
                <w:sz w:val="22"/>
                <w:szCs w:val="24"/>
              </w:rPr>
              <w:t>481</w:t>
            </w:r>
          </w:p>
        </w:tc>
        <w:tc>
          <w:tcPr>
            <w:tcW w:w="1009" w:type="dxa"/>
            <w:vAlign w:val="center"/>
          </w:tcPr>
          <w:p w:rsidR="00A47502" w:rsidRPr="003B5E85" w:rsidRDefault="00A47502" w:rsidP="00A47502">
            <w:pPr>
              <w:jc w:val="center"/>
              <w:rPr>
                <w:sz w:val="22"/>
                <w:szCs w:val="24"/>
              </w:rPr>
            </w:pPr>
            <w:r w:rsidRPr="003B5E85">
              <w:rPr>
                <w:sz w:val="22"/>
                <w:szCs w:val="24"/>
              </w:rPr>
              <w:t>2.95</w:t>
            </w:r>
          </w:p>
        </w:tc>
        <w:tc>
          <w:tcPr>
            <w:tcW w:w="875" w:type="dxa"/>
            <w:vAlign w:val="center"/>
          </w:tcPr>
          <w:p w:rsidR="00A47502" w:rsidRPr="003B5E85" w:rsidRDefault="00A47502" w:rsidP="00A47502">
            <w:pPr>
              <w:jc w:val="center"/>
              <w:rPr>
                <w:sz w:val="22"/>
                <w:szCs w:val="24"/>
              </w:rPr>
            </w:pPr>
            <w:r w:rsidRPr="003B5E85">
              <w:rPr>
                <w:sz w:val="22"/>
                <w:szCs w:val="24"/>
              </w:rPr>
              <w:t>1296</w:t>
            </w:r>
          </w:p>
        </w:tc>
        <w:tc>
          <w:tcPr>
            <w:tcW w:w="878" w:type="dxa"/>
            <w:vAlign w:val="center"/>
          </w:tcPr>
          <w:p w:rsidR="00A47502" w:rsidRPr="003B5E85" w:rsidRDefault="00A47502" w:rsidP="00A47502">
            <w:pPr>
              <w:jc w:val="center"/>
              <w:rPr>
                <w:sz w:val="22"/>
                <w:szCs w:val="24"/>
              </w:rPr>
            </w:pPr>
            <w:r w:rsidRPr="003B5E85">
              <w:rPr>
                <w:sz w:val="22"/>
                <w:szCs w:val="24"/>
              </w:rPr>
              <w:t>2.87</w:t>
            </w:r>
          </w:p>
        </w:tc>
        <w:tc>
          <w:tcPr>
            <w:tcW w:w="1160" w:type="dxa"/>
            <w:vAlign w:val="center"/>
          </w:tcPr>
          <w:p w:rsidR="00A47502" w:rsidRPr="003B5E85" w:rsidRDefault="00A47502" w:rsidP="00A47502">
            <w:pPr>
              <w:jc w:val="center"/>
              <w:rPr>
                <w:sz w:val="22"/>
                <w:szCs w:val="24"/>
              </w:rPr>
            </w:pPr>
            <w:r w:rsidRPr="003B5E85">
              <w:rPr>
                <w:sz w:val="22"/>
                <w:szCs w:val="24"/>
              </w:rPr>
              <w:t>311</w:t>
            </w:r>
          </w:p>
        </w:tc>
        <w:tc>
          <w:tcPr>
            <w:tcW w:w="1034" w:type="dxa"/>
            <w:vAlign w:val="center"/>
          </w:tcPr>
          <w:p w:rsidR="00A47502" w:rsidRPr="003B5E85" w:rsidRDefault="00A47502" w:rsidP="00A47502">
            <w:pPr>
              <w:jc w:val="center"/>
              <w:rPr>
                <w:sz w:val="22"/>
                <w:szCs w:val="24"/>
              </w:rPr>
            </w:pPr>
            <w:r w:rsidRPr="003B5E85">
              <w:rPr>
                <w:sz w:val="22"/>
                <w:szCs w:val="24"/>
              </w:rPr>
              <w:t>5.71</w:t>
            </w:r>
          </w:p>
        </w:tc>
      </w:tr>
      <w:tr w:rsidR="00A47502" w:rsidRPr="003B5E85" w:rsidTr="00A47502">
        <w:tc>
          <w:tcPr>
            <w:tcW w:w="1514" w:type="dxa"/>
          </w:tcPr>
          <w:p w:rsidR="00A47502" w:rsidRPr="003B5E85" w:rsidRDefault="00A47502" w:rsidP="00A47502">
            <w:pPr>
              <w:rPr>
                <w:sz w:val="22"/>
                <w:szCs w:val="24"/>
              </w:rPr>
            </w:pPr>
            <w:r w:rsidRPr="003B5E85">
              <w:rPr>
                <w:sz w:val="22"/>
                <w:szCs w:val="24"/>
              </w:rPr>
              <w:t>Крушево</w:t>
            </w:r>
          </w:p>
        </w:tc>
        <w:tc>
          <w:tcPr>
            <w:tcW w:w="832" w:type="dxa"/>
            <w:vAlign w:val="center"/>
          </w:tcPr>
          <w:p w:rsidR="00A47502" w:rsidRPr="003B5E85" w:rsidRDefault="00A47502" w:rsidP="00A47502">
            <w:pPr>
              <w:jc w:val="center"/>
              <w:rPr>
                <w:sz w:val="22"/>
                <w:szCs w:val="24"/>
              </w:rPr>
            </w:pPr>
            <w:r w:rsidRPr="003B5E85">
              <w:rPr>
                <w:sz w:val="22"/>
                <w:szCs w:val="24"/>
              </w:rPr>
              <w:t>12</w:t>
            </w:r>
          </w:p>
        </w:tc>
        <w:tc>
          <w:tcPr>
            <w:tcW w:w="824" w:type="dxa"/>
            <w:vAlign w:val="center"/>
          </w:tcPr>
          <w:p w:rsidR="00A47502" w:rsidRPr="003B5E85" w:rsidRDefault="00A47502" w:rsidP="00A47502">
            <w:pPr>
              <w:jc w:val="center"/>
              <w:rPr>
                <w:sz w:val="22"/>
                <w:szCs w:val="24"/>
              </w:rPr>
            </w:pPr>
            <w:r w:rsidRPr="003B5E85">
              <w:rPr>
                <w:sz w:val="22"/>
                <w:szCs w:val="24"/>
              </w:rPr>
              <w:t>2.47</w:t>
            </w:r>
          </w:p>
        </w:tc>
        <w:tc>
          <w:tcPr>
            <w:tcW w:w="1116" w:type="dxa"/>
            <w:vAlign w:val="center"/>
          </w:tcPr>
          <w:p w:rsidR="00A47502" w:rsidRPr="003B5E85" w:rsidRDefault="00A47502" w:rsidP="00A47502">
            <w:pPr>
              <w:jc w:val="center"/>
              <w:rPr>
                <w:sz w:val="22"/>
                <w:szCs w:val="24"/>
              </w:rPr>
            </w:pPr>
            <w:r w:rsidRPr="003B5E85">
              <w:rPr>
                <w:sz w:val="22"/>
                <w:szCs w:val="24"/>
              </w:rPr>
              <w:t>231</w:t>
            </w:r>
          </w:p>
        </w:tc>
        <w:tc>
          <w:tcPr>
            <w:tcW w:w="1009" w:type="dxa"/>
            <w:vAlign w:val="center"/>
          </w:tcPr>
          <w:p w:rsidR="00A47502" w:rsidRPr="003B5E85" w:rsidRDefault="00A47502" w:rsidP="00A47502">
            <w:pPr>
              <w:jc w:val="center"/>
              <w:rPr>
                <w:sz w:val="22"/>
                <w:szCs w:val="24"/>
              </w:rPr>
            </w:pPr>
            <w:r w:rsidRPr="003B5E85">
              <w:rPr>
                <w:sz w:val="22"/>
                <w:szCs w:val="24"/>
              </w:rPr>
              <w:t>1.42</w:t>
            </w:r>
          </w:p>
        </w:tc>
        <w:tc>
          <w:tcPr>
            <w:tcW w:w="875" w:type="dxa"/>
            <w:vAlign w:val="center"/>
          </w:tcPr>
          <w:p w:rsidR="00A47502" w:rsidRPr="003B5E85" w:rsidRDefault="00A47502" w:rsidP="00A47502">
            <w:pPr>
              <w:jc w:val="center"/>
              <w:rPr>
                <w:sz w:val="22"/>
                <w:szCs w:val="24"/>
              </w:rPr>
            </w:pPr>
            <w:r w:rsidRPr="003B5E85">
              <w:rPr>
                <w:sz w:val="22"/>
                <w:szCs w:val="24"/>
              </w:rPr>
              <w:t>893</w:t>
            </w:r>
          </w:p>
        </w:tc>
        <w:tc>
          <w:tcPr>
            <w:tcW w:w="878" w:type="dxa"/>
            <w:vAlign w:val="center"/>
          </w:tcPr>
          <w:p w:rsidR="00A47502" w:rsidRPr="003B5E85" w:rsidRDefault="00A47502" w:rsidP="00A47502">
            <w:pPr>
              <w:jc w:val="center"/>
              <w:rPr>
                <w:sz w:val="22"/>
                <w:szCs w:val="24"/>
              </w:rPr>
            </w:pPr>
            <w:r w:rsidRPr="003B5E85">
              <w:rPr>
                <w:sz w:val="22"/>
                <w:szCs w:val="24"/>
              </w:rPr>
              <w:t>1.98</w:t>
            </w:r>
          </w:p>
        </w:tc>
        <w:tc>
          <w:tcPr>
            <w:tcW w:w="1160" w:type="dxa"/>
            <w:vAlign w:val="center"/>
          </w:tcPr>
          <w:p w:rsidR="00A47502" w:rsidRPr="003B5E85" w:rsidRDefault="00A47502" w:rsidP="00A47502">
            <w:pPr>
              <w:jc w:val="center"/>
              <w:rPr>
                <w:sz w:val="22"/>
                <w:szCs w:val="24"/>
              </w:rPr>
            </w:pPr>
            <w:r w:rsidRPr="003B5E85">
              <w:rPr>
                <w:sz w:val="22"/>
                <w:szCs w:val="24"/>
              </w:rPr>
              <w:t>27</w:t>
            </w:r>
          </w:p>
        </w:tc>
        <w:tc>
          <w:tcPr>
            <w:tcW w:w="1034" w:type="dxa"/>
            <w:vAlign w:val="center"/>
          </w:tcPr>
          <w:p w:rsidR="00A47502" w:rsidRPr="003B5E85" w:rsidRDefault="00A47502" w:rsidP="00A47502">
            <w:pPr>
              <w:jc w:val="center"/>
              <w:rPr>
                <w:sz w:val="22"/>
                <w:szCs w:val="24"/>
              </w:rPr>
            </w:pPr>
            <w:r w:rsidRPr="003B5E85">
              <w:rPr>
                <w:sz w:val="22"/>
                <w:szCs w:val="24"/>
              </w:rPr>
              <w:t>0.50</w:t>
            </w:r>
          </w:p>
        </w:tc>
      </w:tr>
      <w:tr w:rsidR="00A47502" w:rsidRPr="003B5E85" w:rsidTr="00A47502">
        <w:tc>
          <w:tcPr>
            <w:tcW w:w="1514" w:type="dxa"/>
          </w:tcPr>
          <w:p w:rsidR="00A47502" w:rsidRPr="003B5E85" w:rsidRDefault="00A47502" w:rsidP="00A47502">
            <w:pPr>
              <w:rPr>
                <w:sz w:val="22"/>
                <w:szCs w:val="24"/>
              </w:rPr>
            </w:pPr>
            <w:r w:rsidRPr="003B5E85">
              <w:rPr>
                <w:sz w:val="22"/>
                <w:szCs w:val="24"/>
              </w:rPr>
              <w:t xml:space="preserve">Гевгелија </w:t>
            </w:r>
          </w:p>
        </w:tc>
        <w:tc>
          <w:tcPr>
            <w:tcW w:w="832" w:type="dxa"/>
            <w:vAlign w:val="center"/>
          </w:tcPr>
          <w:p w:rsidR="00A47502" w:rsidRPr="003B5E85" w:rsidRDefault="00A47502" w:rsidP="00A47502">
            <w:pPr>
              <w:jc w:val="center"/>
              <w:rPr>
                <w:sz w:val="22"/>
                <w:szCs w:val="24"/>
              </w:rPr>
            </w:pPr>
            <w:r w:rsidRPr="003B5E85">
              <w:rPr>
                <w:sz w:val="22"/>
                <w:szCs w:val="24"/>
              </w:rPr>
              <w:t>8</w:t>
            </w:r>
          </w:p>
        </w:tc>
        <w:tc>
          <w:tcPr>
            <w:tcW w:w="824" w:type="dxa"/>
            <w:vAlign w:val="center"/>
          </w:tcPr>
          <w:p w:rsidR="00A47502" w:rsidRPr="003B5E85" w:rsidRDefault="00A47502" w:rsidP="00A47502">
            <w:pPr>
              <w:jc w:val="center"/>
              <w:rPr>
                <w:sz w:val="22"/>
                <w:szCs w:val="24"/>
              </w:rPr>
            </w:pPr>
            <w:r w:rsidRPr="003B5E85">
              <w:rPr>
                <w:sz w:val="22"/>
                <w:szCs w:val="24"/>
              </w:rPr>
              <w:t>1.65</w:t>
            </w:r>
          </w:p>
        </w:tc>
        <w:tc>
          <w:tcPr>
            <w:tcW w:w="1116" w:type="dxa"/>
            <w:vAlign w:val="center"/>
          </w:tcPr>
          <w:p w:rsidR="00A47502" w:rsidRPr="003B5E85" w:rsidRDefault="00A47502" w:rsidP="00A47502">
            <w:pPr>
              <w:jc w:val="center"/>
              <w:rPr>
                <w:sz w:val="22"/>
                <w:szCs w:val="24"/>
              </w:rPr>
            </w:pPr>
            <w:r w:rsidRPr="003B5E85">
              <w:rPr>
                <w:sz w:val="22"/>
                <w:szCs w:val="24"/>
              </w:rPr>
              <w:t>339</w:t>
            </w:r>
          </w:p>
        </w:tc>
        <w:tc>
          <w:tcPr>
            <w:tcW w:w="1009" w:type="dxa"/>
            <w:vAlign w:val="center"/>
          </w:tcPr>
          <w:p w:rsidR="00A47502" w:rsidRPr="003B5E85" w:rsidRDefault="00A47502" w:rsidP="00A47502">
            <w:pPr>
              <w:jc w:val="center"/>
              <w:rPr>
                <w:sz w:val="22"/>
                <w:szCs w:val="24"/>
              </w:rPr>
            </w:pPr>
            <w:r w:rsidRPr="003B5E85">
              <w:rPr>
                <w:sz w:val="22"/>
                <w:szCs w:val="24"/>
              </w:rPr>
              <w:t>2.08</w:t>
            </w:r>
          </w:p>
        </w:tc>
        <w:tc>
          <w:tcPr>
            <w:tcW w:w="875" w:type="dxa"/>
            <w:vAlign w:val="center"/>
          </w:tcPr>
          <w:p w:rsidR="00A47502" w:rsidRPr="003B5E85" w:rsidRDefault="00A47502" w:rsidP="00A47502">
            <w:pPr>
              <w:jc w:val="center"/>
              <w:rPr>
                <w:sz w:val="22"/>
                <w:szCs w:val="24"/>
              </w:rPr>
            </w:pPr>
            <w:r w:rsidRPr="003B5E85">
              <w:rPr>
                <w:sz w:val="22"/>
                <w:szCs w:val="24"/>
              </w:rPr>
              <w:t>777</w:t>
            </w:r>
          </w:p>
        </w:tc>
        <w:tc>
          <w:tcPr>
            <w:tcW w:w="878" w:type="dxa"/>
            <w:vAlign w:val="center"/>
          </w:tcPr>
          <w:p w:rsidR="00A47502" w:rsidRPr="003B5E85" w:rsidRDefault="00A47502" w:rsidP="00A47502">
            <w:pPr>
              <w:jc w:val="center"/>
              <w:rPr>
                <w:sz w:val="22"/>
                <w:szCs w:val="24"/>
              </w:rPr>
            </w:pPr>
            <w:r w:rsidRPr="003B5E85">
              <w:rPr>
                <w:sz w:val="22"/>
                <w:szCs w:val="24"/>
              </w:rPr>
              <w:t>1.72</w:t>
            </w:r>
          </w:p>
        </w:tc>
        <w:tc>
          <w:tcPr>
            <w:tcW w:w="1160" w:type="dxa"/>
            <w:vAlign w:val="center"/>
          </w:tcPr>
          <w:p w:rsidR="00A47502" w:rsidRPr="003B5E85" w:rsidRDefault="00A47502" w:rsidP="00A47502">
            <w:pPr>
              <w:jc w:val="center"/>
              <w:rPr>
                <w:sz w:val="22"/>
                <w:szCs w:val="24"/>
              </w:rPr>
            </w:pPr>
            <w:r w:rsidRPr="003B5E85">
              <w:rPr>
                <w:sz w:val="22"/>
                <w:szCs w:val="24"/>
              </w:rPr>
              <w:t>1088</w:t>
            </w:r>
          </w:p>
        </w:tc>
        <w:tc>
          <w:tcPr>
            <w:tcW w:w="1034" w:type="dxa"/>
            <w:vAlign w:val="center"/>
          </w:tcPr>
          <w:p w:rsidR="00A47502" w:rsidRPr="003B5E85" w:rsidRDefault="00A47502" w:rsidP="00A47502">
            <w:pPr>
              <w:jc w:val="center"/>
              <w:rPr>
                <w:sz w:val="22"/>
                <w:szCs w:val="24"/>
              </w:rPr>
            </w:pPr>
            <w:r w:rsidRPr="003B5E85">
              <w:rPr>
                <w:sz w:val="22"/>
                <w:szCs w:val="24"/>
              </w:rPr>
              <w:t>19.99</w:t>
            </w:r>
          </w:p>
        </w:tc>
      </w:tr>
      <w:tr w:rsidR="00A47502" w:rsidRPr="003B5E85" w:rsidTr="00A47502">
        <w:tc>
          <w:tcPr>
            <w:tcW w:w="1514" w:type="dxa"/>
          </w:tcPr>
          <w:p w:rsidR="00A47502" w:rsidRPr="00120321" w:rsidRDefault="00A47502" w:rsidP="00120321">
            <w:pPr>
              <w:rPr>
                <w:b/>
                <w:i/>
                <w:sz w:val="20"/>
                <w:szCs w:val="24"/>
              </w:rPr>
            </w:pPr>
            <w:r w:rsidRPr="00120321">
              <w:rPr>
                <w:b/>
                <w:i/>
                <w:sz w:val="20"/>
                <w:szCs w:val="24"/>
              </w:rPr>
              <w:t xml:space="preserve">Вкупно9-те општини </w:t>
            </w:r>
          </w:p>
        </w:tc>
        <w:tc>
          <w:tcPr>
            <w:tcW w:w="832" w:type="dxa"/>
            <w:vAlign w:val="center"/>
          </w:tcPr>
          <w:p w:rsidR="00A47502" w:rsidRPr="00120321" w:rsidRDefault="00A47502" w:rsidP="00A47502">
            <w:pPr>
              <w:jc w:val="center"/>
              <w:rPr>
                <w:b/>
                <w:sz w:val="20"/>
                <w:szCs w:val="24"/>
              </w:rPr>
            </w:pPr>
            <w:r w:rsidRPr="00120321">
              <w:rPr>
                <w:b/>
                <w:sz w:val="20"/>
                <w:szCs w:val="24"/>
              </w:rPr>
              <w:fldChar w:fldCharType="begin"/>
            </w:r>
            <w:r w:rsidRPr="00120321">
              <w:rPr>
                <w:b/>
                <w:sz w:val="20"/>
                <w:szCs w:val="24"/>
              </w:rPr>
              <w:instrText xml:space="preserve"> =SUM(ABOVE) </w:instrText>
            </w:r>
            <w:r w:rsidRPr="00120321">
              <w:rPr>
                <w:b/>
                <w:sz w:val="20"/>
                <w:szCs w:val="24"/>
              </w:rPr>
              <w:fldChar w:fldCharType="separate"/>
            </w:r>
            <w:r w:rsidRPr="00120321">
              <w:rPr>
                <w:b/>
                <w:sz w:val="20"/>
                <w:szCs w:val="24"/>
              </w:rPr>
              <w:t>330</w:t>
            </w:r>
            <w:r w:rsidRPr="00120321">
              <w:rPr>
                <w:b/>
                <w:sz w:val="20"/>
                <w:szCs w:val="24"/>
              </w:rPr>
              <w:fldChar w:fldCharType="end"/>
            </w:r>
          </w:p>
        </w:tc>
        <w:tc>
          <w:tcPr>
            <w:tcW w:w="824" w:type="dxa"/>
            <w:vAlign w:val="center"/>
          </w:tcPr>
          <w:p w:rsidR="00A47502" w:rsidRPr="00120321" w:rsidRDefault="00A47502" w:rsidP="00A47502">
            <w:pPr>
              <w:jc w:val="center"/>
              <w:rPr>
                <w:b/>
                <w:sz w:val="20"/>
                <w:szCs w:val="24"/>
              </w:rPr>
            </w:pPr>
            <w:r w:rsidRPr="00120321">
              <w:rPr>
                <w:b/>
                <w:sz w:val="20"/>
                <w:szCs w:val="24"/>
              </w:rPr>
              <w:t>67.90</w:t>
            </w:r>
          </w:p>
        </w:tc>
        <w:tc>
          <w:tcPr>
            <w:tcW w:w="1116" w:type="dxa"/>
            <w:vAlign w:val="center"/>
          </w:tcPr>
          <w:p w:rsidR="00A47502" w:rsidRPr="00120321" w:rsidRDefault="00A47502" w:rsidP="00A47502">
            <w:pPr>
              <w:jc w:val="center"/>
              <w:rPr>
                <w:b/>
                <w:sz w:val="20"/>
                <w:szCs w:val="24"/>
              </w:rPr>
            </w:pPr>
            <w:r w:rsidRPr="00120321">
              <w:rPr>
                <w:b/>
                <w:sz w:val="20"/>
                <w:szCs w:val="24"/>
              </w:rPr>
              <w:fldChar w:fldCharType="begin"/>
            </w:r>
            <w:r w:rsidRPr="00120321">
              <w:rPr>
                <w:b/>
                <w:sz w:val="20"/>
                <w:szCs w:val="24"/>
              </w:rPr>
              <w:instrText xml:space="preserve"> =SUM(ABOVE) </w:instrText>
            </w:r>
            <w:r w:rsidRPr="00120321">
              <w:rPr>
                <w:b/>
                <w:sz w:val="20"/>
                <w:szCs w:val="24"/>
              </w:rPr>
              <w:fldChar w:fldCharType="separate"/>
            </w:r>
            <w:r w:rsidRPr="00120321">
              <w:rPr>
                <w:b/>
                <w:sz w:val="20"/>
                <w:szCs w:val="24"/>
              </w:rPr>
              <w:t>12871</w:t>
            </w:r>
            <w:r w:rsidRPr="00120321">
              <w:rPr>
                <w:b/>
                <w:sz w:val="20"/>
                <w:szCs w:val="24"/>
              </w:rPr>
              <w:fldChar w:fldCharType="end"/>
            </w:r>
          </w:p>
        </w:tc>
        <w:tc>
          <w:tcPr>
            <w:tcW w:w="1009" w:type="dxa"/>
            <w:vAlign w:val="center"/>
          </w:tcPr>
          <w:p w:rsidR="00A47502" w:rsidRPr="00120321" w:rsidRDefault="00A47502" w:rsidP="00A47502">
            <w:pPr>
              <w:jc w:val="center"/>
              <w:rPr>
                <w:b/>
                <w:sz w:val="20"/>
                <w:szCs w:val="24"/>
              </w:rPr>
            </w:pPr>
            <w:r w:rsidRPr="00120321">
              <w:rPr>
                <w:b/>
                <w:sz w:val="20"/>
                <w:szCs w:val="24"/>
              </w:rPr>
              <w:t>78.93</w:t>
            </w:r>
          </w:p>
        </w:tc>
        <w:tc>
          <w:tcPr>
            <w:tcW w:w="875" w:type="dxa"/>
            <w:vAlign w:val="center"/>
          </w:tcPr>
          <w:p w:rsidR="00A47502" w:rsidRPr="00120321" w:rsidRDefault="00A47502" w:rsidP="00A47502">
            <w:pPr>
              <w:jc w:val="center"/>
              <w:rPr>
                <w:b/>
                <w:sz w:val="20"/>
                <w:szCs w:val="24"/>
              </w:rPr>
            </w:pPr>
            <w:r w:rsidRPr="00120321">
              <w:rPr>
                <w:b/>
                <w:sz w:val="20"/>
                <w:szCs w:val="24"/>
              </w:rPr>
              <w:fldChar w:fldCharType="begin"/>
            </w:r>
            <w:r w:rsidRPr="00120321">
              <w:rPr>
                <w:b/>
                <w:sz w:val="20"/>
                <w:szCs w:val="24"/>
              </w:rPr>
              <w:instrText xml:space="preserve"> =SUM(ABOVE) </w:instrText>
            </w:r>
            <w:r w:rsidRPr="00120321">
              <w:rPr>
                <w:b/>
                <w:sz w:val="20"/>
                <w:szCs w:val="24"/>
              </w:rPr>
              <w:fldChar w:fldCharType="separate"/>
            </w:r>
            <w:r w:rsidRPr="00120321">
              <w:rPr>
                <w:b/>
                <w:sz w:val="20"/>
                <w:szCs w:val="24"/>
              </w:rPr>
              <w:t>36117</w:t>
            </w:r>
            <w:r w:rsidRPr="00120321">
              <w:rPr>
                <w:b/>
                <w:sz w:val="20"/>
                <w:szCs w:val="24"/>
              </w:rPr>
              <w:fldChar w:fldCharType="end"/>
            </w:r>
          </w:p>
        </w:tc>
        <w:tc>
          <w:tcPr>
            <w:tcW w:w="878" w:type="dxa"/>
            <w:vAlign w:val="center"/>
          </w:tcPr>
          <w:p w:rsidR="00A47502" w:rsidRPr="00120321" w:rsidRDefault="00A47502" w:rsidP="00A47502">
            <w:pPr>
              <w:jc w:val="center"/>
              <w:rPr>
                <w:b/>
                <w:sz w:val="20"/>
                <w:szCs w:val="24"/>
              </w:rPr>
            </w:pPr>
            <w:r w:rsidRPr="00120321">
              <w:rPr>
                <w:b/>
                <w:sz w:val="20"/>
                <w:szCs w:val="24"/>
              </w:rPr>
              <w:t>80.00</w:t>
            </w:r>
          </w:p>
        </w:tc>
        <w:tc>
          <w:tcPr>
            <w:tcW w:w="1160" w:type="dxa"/>
            <w:vAlign w:val="center"/>
          </w:tcPr>
          <w:p w:rsidR="00A47502" w:rsidRPr="00120321" w:rsidRDefault="00A47502" w:rsidP="00A47502">
            <w:pPr>
              <w:jc w:val="center"/>
              <w:rPr>
                <w:b/>
                <w:sz w:val="20"/>
                <w:szCs w:val="24"/>
              </w:rPr>
            </w:pPr>
            <w:r w:rsidRPr="00120321">
              <w:rPr>
                <w:b/>
                <w:sz w:val="20"/>
                <w:szCs w:val="24"/>
              </w:rPr>
              <w:fldChar w:fldCharType="begin"/>
            </w:r>
            <w:r w:rsidRPr="00120321">
              <w:rPr>
                <w:b/>
                <w:sz w:val="20"/>
                <w:szCs w:val="24"/>
              </w:rPr>
              <w:instrText xml:space="preserve"> =SUM(ABOVE) </w:instrText>
            </w:r>
            <w:r w:rsidRPr="00120321">
              <w:rPr>
                <w:b/>
                <w:sz w:val="20"/>
                <w:szCs w:val="24"/>
              </w:rPr>
              <w:fldChar w:fldCharType="separate"/>
            </w:r>
            <w:r w:rsidRPr="00120321">
              <w:rPr>
                <w:b/>
                <w:sz w:val="20"/>
                <w:szCs w:val="24"/>
              </w:rPr>
              <w:t>4092</w:t>
            </w:r>
            <w:r w:rsidRPr="00120321">
              <w:rPr>
                <w:b/>
                <w:sz w:val="20"/>
                <w:szCs w:val="24"/>
              </w:rPr>
              <w:fldChar w:fldCharType="end"/>
            </w:r>
          </w:p>
        </w:tc>
        <w:tc>
          <w:tcPr>
            <w:tcW w:w="1034" w:type="dxa"/>
            <w:vAlign w:val="center"/>
          </w:tcPr>
          <w:p w:rsidR="00A47502" w:rsidRPr="00120321" w:rsidRDefault="00A47502" w:rsidP="00A47502">
            <w:pPr>
              <w:jc w:val="center"/>
              <w:rPr>
                <w:b/>
                <w:sz w:val="20"/>
                <w:szCs w:val="24"/>
              </w:rPr>
            </w:pPr>
            <w:r w:rsidRPr="00120321">
              <w:rPr>
                <w:b/>
                <w:sz w:val="20"/>
                <w:szCs w:val="24"/>
              </w:rPr>
              <w:t>75.16</w:t>
            </w:r>
          </w:p>
        </w:tc>
      </w:tr>
      <w:tr w:rsidR="00A47502" w:rsidRPr="003B5E85" w:rsidTr="00A47502">
        <w:tc>
          <w:tcPr>
            <w:tcW w:w="1514" w:type="dxa"/>
          </w:tcPr>
          <w:p w:rsidR="00A47502" w:rsidRPr="00120321" w:rsidRDefault="00A47502" w:rsidP="00A47502">
            <w:pPr>
              <w:rPr>
                <w:b/>
                <w:sz w:val="20"/>
                <w:szCs w:val="24"/>
              </w:rPr>
            </w:pPr>
            <w:r w:rsidRPr="00120321">
              <w:rPr>
                <w:b/>
                <w:sz w:val="20"/>
                <w:szCs w:val="24"/>
              </w:rPr>
              <w:t xml:space="preserve">Вкупно Р.  Македонија </w:t>
            </w:r>
          </w:p>
        </w:tc>
        <w:tc>
          <w:tcPr>
            <w:tcW w:w="832" w:type="dxa"/>
            <w:vAlign w:val="center"/>
          </w:tcPr>
          <w:p w:rsidR="00A47502" w:rsidRPr="00120321" w:rsidRDefault="00A47502" w:rsidP="00A47502">
            <w:pPr>
              <w:jc w:val="center"/>
              <w:rPr>
                <w:b/>
                <w:sz w:val="20"/>
                <w:szCs w:val="24"/>
              </w:rPr>
            </w:pPr>
            <w:r w:rsidRPr="00120321">
              <w:rPr>
                <w:b/>
                <w:sz w:val="20"/>
                <w:szCs w:val="24"/>
              </w:rPr>
              <w:t>486</w:t>
            </w:r>
          </w:p>
        </w:tc>
        <w:tc>
          <w:tcPr>
            <w:tcW w:w="824" w:type="dxa"/>
            <w:vAlign w:val="center"/>
          </w:tcPr>
          <w:p w:rsidR="00A47502" w:rsidRPr="00120321" w:rsidRDefault="00A47502" w:rsidP="00A47502">
            <w:pPr>
              <w:jc w:val="center"/>
              <w:rPr>
                <w:b/>
                <w:sz w:val="20"/>
                <w:szCs w:val="24"/>
              </w:rPr>
            </w:pPr>
            <w:r w:rsidRPr="00120321">
              <w:rPr>
                <w:b/>
                <w:sz w:val="20"/>
                <w:szCs w:val="24"/>
              </w:rPr>
              <w:t>100.00</w:t>
            </w:r>
          </w:p>
        </w:tc>
        <w:tc>
          <w:tcPr>
            <w:tcW w:w="1116" w:type="dxa"/>
            <w:vAlign w:val="center"/>
          </w:tcPr>
          <w:p w:rsidR="00A47502" w:rsidRPr="00120321" w:rsidRDefault="00A47502" w:rsidP="00A47502">
            <w:pPr>
              <w:jc w:val="center"/>
              <w:rPr>
                <w:b/>
                <w:sz w:val="20"/>
                <w:szCs w:val="24"/>
              </w:rPr>
            </w:pPr>
            <w:r w:rsidRPr="00120321">
              <w:rPr>
                <w:b/>
                <w:sz w:val="20"/>
                <w:szCs w:val="24"/>
              </w:rPr>
              <w:t>16306</w:t>
            </w:r>
          </w:p>
        </w:tc>
        <w:tc>
          <w:tcPr>
            <w:tcW w:w="1009" w:type="dxa"/>
            <w:vAlign w:val="center"/>
          </w:tcPr>
          <w:p w:rsidR="00A47502" w:rsidRPr="00120321" w:rsidRDefault="00A47502" w:rsidP="00A47502">
            <w:pPr>
              <w:jc w:val="center"/>
              <w:rPr>
                <w:b/>
                <w:sz w:val="20"/>
                <w:szCs w:val="24"/>
              </w:rPr>
            </w:pPr>
            <w:r w:rsidRPr="00120321">
              <w:rPr>
                <w:b/>
                <w:sz w:val="20"/>
                <w:szCs w:val="24"/>
              </w:rPr>
              <w:t>100.00</w:t>
            </w:r>
          </w:p>
        </w:tc>
        <w:tc>
          <w:tcPr>
            <w:tcW w:w="875" w:type="dxa"/>
            <w:vAlign w:val="center"/>
          </w:tcPr>
          <w:p w:rsidR="00A47502" w:rsidRPr="00120321" w:rsidRDefault="00A47502" w:rsidP="00A47502">
            <w:pPr>
              <w:jc w:val="center"/>
              <w:rPr>
                <w:b/>
                <w:sz w:val="20"/>
                <w:szCs w:val="24"/>
              </w:rPr>
            </w:pPr>
            <w:r w:rsidRPr="00120321">
              <w:rPr>
                <w:b/>
                <w:sz w:val="20"/>
                <w:szCs w:val="24"/>
              </w:rPr>
              <w:t>45139</w:t>
            </w:r>
          </w:p>
        </w:tc>
        <w:tc>
          <w:tcPr>
            <w:tcW w:w="878" w:type="dxa"/>
            <w:vAlign w:val="center"/>
          </w:tcPr>
          <w:p w:rsidR="00A47502" w:rsidRPr="00120321" w:rsidRDefault="00A47502" w:rsidP="00A47502">
            <w:pPr>
              <w:jc w:val="center"/>
              <w:rPr>
                <w:b/>
                <w:sz w:val="20"/>
                <w:szCs w:val="24"/>
              </w:rPr>
            </w:pPr>
            <w:r w:rsidRPr="00120321">
              <w:rPr>
                <w:b/>
                <w:sz w:val="20"/>
                <w:szCs w:val="24"/>
              </w:rPr>
              <w:t>100.00</w:t>
            </w:r>
          </w:p>
        </w:tc>
        <w:tc>
          <w:tcPr>
            <w:tcW w:w="1160" w:type="dxa"/>
            <w:vAlign w:val="center"/>
          </w:tcPr>
          <w:p w:rsidR="00A47502" w:rsidRPr="00120321" w:rsidRDefault="00A47502" w:rsidP="00A47502">
            <w:pPr>
              <w:jc w:val="center"/>
              <w:rPr>
                <w:b/>
                <w:sz w:val="20"/>
                <w:szCs w:val="24"/>
              </w:rPr>
            </w:pPr>
            <w:r w:rsidRPr="00120321">
              <w:rPr>
                <w:b/>
                <w:sz w:val="20"/>
                <w:szCs w:val="24"/>
              </w:rPr>
              <w:t>5444</w:t>
            </w:r>
          </w:p>
        </w:tc>
        <w:tc>
          <w:tcPr>
            <w:tcW w:w="1034" w:type="dxa"/>
            <w:vAlign w:val="center"/>
          </w:tcPr>
          <w:p w:rsidR="00A47502" w:rsidRPr="00120321" w:rsidRDefault="00A47502" w:rsidP="00A47502">
            <w:pPr>
              <w:jc w:val="center"/>
              <w:rPr>
                <w:b/>
                <w:sz w:val="20"/>
                <w:szCs w:val="24"/>
              </w:rPr>
            </w:pPr>
            <w:r w:rsidRPr="00120321">
              <w:rPr>
                <w:b/>
                <w:sz w:val="20"/>
                <w:szCs w:val="24"/>
              </w:rPr>
              <w:t>100.00</w:t>
            </w:r>
          </w:p>
        </w:tc>
      </w:tr>
    </w:tbl>
    <w:p w:rsidR="00A47502" w:rsidRPr="003B5E85" w:rsidRDefault="00A47502" w:rsidP="00A47502">
      <w:pPr>
        <w:autoSpaceDE w:val="0"/>
        <w:autoSpaceDN w:val="0"/>
        <w:adjustRightInd w:val="0"/>
        <w:rPr>
          <w:sz w:val="22"/>
          <w:szCs w:val="24"/>
        </w:rPr>
      </w:pPr>
      <w:r w:rsidRPr="003B5E85">
        <w:rPr>
          <w:sz w:val="22"/>
          <w:szCs w:val="24"/>
        </w:rPr>
        <w:t>Извор</w:t>
      </w:r>
      <w:r w:rsidRPr="003B5E85">
        <w:rPr>
          <w:sz w:val="22"/>
          <w:szCs w:val="24"/>
          <w:lang w:val="en-US"/>
        </w:rPr>
        <w:t>:</w:t>
      </w:r>
      <w:r w:rsidRPr="003B5E85">
        <w:rPr>
          <w:sz w:val="22"/>
          <w:szCs w:val="24"/>
        </w:rPr>
        <w:t xml:space="preserve">Попис на капацитетите во угостителството во Република Македонија ,Државен завод за статистика, Скопје 2011 </w:t>
      </w:r>
    </w:p>
    <w:p w:rsidR="00A47502" w:rsidRPr="00C66203" w:rsidRDefault="00A47502" w:rsidP="00A47502">
      <w:pPr>
        <w:autoSpaceDE w:val="0"/>
        <w:autoSpaceDN w:val="0"/>
        <w:adjustRightInd w:val="0"/>
        <w:rPr>
          <w:szCs w:val="24"/>
        </w:rPr>
      </w:pPr>
    </w:p>
    <w:p w:rsidR="00A47502" w:rsidRDefault="00A47502" w:rsidP="00A47502">
      <w:pPr>
        <w:rPr>
          <w:szCs w:val="24"/>
        </w:rPr>
      </w:pPr>
      <w:r>
        <w:rPr>
          <w:szCs w:val="24"/>
        </w:rPr>
        <w:tab/>
        <w:t>И со овие податоци се потврдува констатацијата дека Општина Дојран мора да ги валоризира природните и стите други услови за развој на туризмот. Од тука, развој на туризмот мора  да биде постојан приоритет и преокупација</w:t>
      </w:r>
      <w:r w:rsidRPr="00AE0699">
        <w:rPr>
          <w:szCs w:val="24"/>
        </w:rPr>
        <w:t xml:space="preserve"> </w:t>
      </w:r>
      <w:r>
        <w:rPr>
          <w:szCs w:val="24"/>
        </w:rPr>
        <w:t xml:space="preserve">не само на локалната заедница, туку и на државата пошироко.  Така, само преку нови вработувања, нови инвестиции во објекти и слично, ќе се потврдат вредностите на туризмот како стопанска рентабилна гранка во Општина Дојран. </w:t>
      </w:r>
    </w:p>
    <w:p w:rsidR="00A47502" w:rsidRDefault="00A47502" w:rsidP="00A47502">
      <w:pPr>
        <w:rPr>
          <w:szCs w:val="24"/>
        </w:rPr>
      </w:pPr>
      <w:r>
        <w:rPr>
          <w:szCs w:val="24"/>
        </w:rPr>
        <w:tab/>
        <w:t xml:space="preserve">Исто така, соодносот вработен / сместувачки објект за Општина Дојрана изнесува, 3 вработени на смесувачки објект, корелациониот коефициент помеѓу сместувачките објекти и бројот на вработени е позитивен и изнесува 4,25, и искористеноста на сместувачките објекти по гости во летната сезона проценуваме дека просечно изнесува 11 гости дневно, а на годишно ниво од само 2 гости дневно. </w:t>
      </w:r>
    </w:p>
    <w:p w:rsidR="00A47502" w:rsidRDefault="00A47502" w:rsidP="00A47502">
      <w:pPr>
        <w:rPr>
          <w:szCs w:val="24"/>
        </w:rPr>
      </w:pPr>
      <w:r>
        <w:rPr>
          <w:szCs w:val="24"/>
        </w:rPr>
        <w:t xml:space="preserve">И со овие бројки се потврдува претходно искажаното дека условите за развој на туризмот во Општина Дојран не се доволно искористени, во правец на нови содржини, капацитети, вработувања, инвестиции и слично. </w:t>
      </w:r>
    </w:p>
    <w:p w:rsidR="00A47502" w:rsidRPr="003B5E85" w:rsidRDefault="00A47502" w:rsidP="00A47502">
      <w:pPr>
        <w:autoSpaceDE w:val="0"/>
        <w:autoSpaceDN w:val="0"/>
        <w:adjustRightInd w:val="0"/>
        <w:rPr>
          <w:b/>
          <w:sz w:val="16"/>
          <w:szCs w:val="24"/>
        </w:rPr>
      </w:pPr>
    </w:p>
    <w:p w:rsidR="00A47502" w:rsidRDefault="00A47502" w:rsidP="00A47502">
      <w:pPr>
        <w:tabs>
          <w:tab w:val="left" w:pos="720"/>
        </w:tabs>
        <w:rPr>
          <w:szCs w:val="24"/>
          <w:lang w:eastAsia="mk-MK"/>
        </w:rPr>
      </w:pPr>
      <w:r>
        <w:rPr>
          <w:szCs w:val="24"/>
          <w:lang w:eastAsia="mk-MK"/>
        </w:rPr>
        <w:lastRenderedPageBreak/>
        <w:t xml:space="preserve">Графикон 6. - Процентуално учество на избраните општини според сместувачки објекти, број на легла и број на соби  </w:t>
      </w:r>
    </w:p>
    <w:p w:rsidR="00A47502" w:rsidRPr="003B5E85" w:rsidRDefault="00A47502" w:rsidP="00A47502">
      <w:pPr>
        <w:autoSpaceDE w:val="0"/>
        <w:autoSpaceDN w:val="0"/>
        <w:adjustRightInd w:val="0"/>
        <w:rPr>
          <w:b/>
          <w:sz w:val="16"/>
          <w:szCs w:val="24"/>
        </w:rPr>
      </w:pPr>
    </w:p>
    <w:p w:rsidR="00A47502" w:rsidRDefault="00A47502" w:rsidP="00A47502">
      <w:pPr>
        <w:jc w:val="center"/>
        <w:rPr>
          <w:szCs w:val="24"/>
        </w:rPr>
      </w:pPr>
      <w:r>
        <w:rPr>
          <w:noProof/>
          <w:szCs w:val="24"/>
          <w:lang w:val="en-US"/>
        </w:rPr>
        <w:drawing>
          <wp:inline distT="0" distB="0" distL="0" distR="0">
            <wp:extent cx="4567555" cy="2738755"/>
            <wp:effectExtent l="19050" t="0" r="23495" b="4445"/>
            <wp:docPr id="4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7502" w:rsidRPr="003B5E85" w:rsidRDefault="00A47502" w:rsidP="00A47502">
      <w:pPr>
        <w:tabs>
          <w:tab w:val="left" w:pos="720"/>
        </w:tabs>
        <w:rPr>
          <w:sz w:val="16"/>
          <w:szCs w:val="24"/>
          <w:lang w:eastAsia="mk-MK"/>
        </w:rPr>
      </w:pPr>
    </w:p>
    <w:p w:rsidR="00A47502" w:rsidRDefault="00A47502" w:rsidP="00A47502">
      <w:pPr>
        <w:tabs>
          <w:tab w:val="left" w:pos="720"/>
        </w:tabs>
        <w:rPr>
          <w:szCs w:val="24"/>
          <w:lang w:eastAsia="mk-MK"/>
        </w:rPr>
      </w:pPr>
      <w:r>
        <w:rPr>
          <w:szCs w:val="24"/>
          <w:lang w:eastAsia="mk-MK"/>
        </w:rPr>
        <w:t xml:space="preserve">Графикон 7. - Процентуално учество на избраните општини според број на вработени во сместувачките капацитети  </w:t>
      </w:r>
    </w:p>
    <w:p w:rsidR="00A47502" w:rsidRPr="00C66203" w:rsidRDefault="00A47502" w:rsidP="00A47502">
      <w:pPr>
        <w:jc w:val="center"/>
        <w:rPr>
          <w:szCs w:val="24"/>
        </w:rPr>
      </w:pPr>
      <w:r>
        <w:rPr>
          <w:noProof/>
          <w:szCs w:val="24"/>
          <w:lang w:val="en-US"/>
        </w:rPr>
        <w:drawing>
          <wp:inline distT="0" distB="0" distL="0" distR="0">
            <wp:extent cx="4547235" cy="3023568"/>
            <wp:effectExtent l="19050" t="0" r="24765" b="5382"/>
            <wp:docPr id="4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7502" w:rsidRDefault="00A47502" w:rsidP="00A47502">
      <w:pPr>
        <w:jc w:val="center"/>
        <w:rPr>
          <w:b/>
          <w:szCs w:val="24"/>
          <w:lang w:val="en-US" w:eastAsia="mk-MK"/>
        </w:rPr>
      </w:pPr>
    </w:p>
    <w:p w:rsidR="00120321" w:rsidRDefault="00120321" w:rsidP="00A47502">
      <w:pPr>
        <w:jc w:val="center"/>
        <w:rPr>
          <w:b/>
          <w:szCs w:val="24"/>
          <w:lang w:val="en-US" w:eastAsia="mk-MK"/>
        </w:rPr>
      </w:pPr>
    </w:p>
    <w:p w:rsidR="00120321" w:rsidRPr="00120321" w:rsidRDefault="00120321" w:rsidP="00A47502">
      <w:pPr>
        <w:jc w:val="center"/>
        <w:rPr>
          <w:b/>
          <w:szCs w:val="24"/>
          <w:lang w:val="en-US" w:eastAsia="mk-MK"/>
        </w:rPr>
      </w:pPr>
    </w:p>
    <w:p w:rsidR="00A47502" w:rsidRDefault="00A47502" w:rsidP="00A47502">
      <w:pPr>
        <w:jc w:val="center"/>
        <w:rPr>
          <w:b/>
          <w:szCs w:val="24"/>
          <w:lang w:eastAsia="mk-MK"/>
        </w:rPr>
      </w:pPr>
      <w:r w:rsidRPr="00025637">
        <w:rPr>
          <w:b/>
          <w:szCs w:val="24"/>
          <w:lang w:eastAsia="mk-MK"/>
        </w:rPr>
        <w:lastRenderedPageBreak/>
        <w:t>ЗАКЛУЧОК</w:t>
      </w:r>
    </w:p>
    <w:p w:rsidR="00A47502" w:rsidRDefault="00A47502" w:rsidP="00A47502">
      <w:pPr>
        <w:rPr>
          <w:szCs w:val="24"/>
          <w:lang w:eastAsia="mk-MK"/>
        </w:rPr>
      </w:pPr>
      <w:r>
        <w:rPr>
          <w:b/>
          <w:szCs w:val="24"/>
          <w:lang w:val="en-US" w:eastAsia="mk-MK"/>
        </w:rPr>
        <w:tab/>
      </w:r>
      <w:r w:rsidRPr="0022798C">
        <w:rPr>
          <w:szCs w:val="24"/>
          <w:lang w:eastAsia="mk-MK"/>
        </w:rPr>
        <w:t>Сублимирано за</w:t>
      </w:r>
      <w:r>
        <w:rPr>
          <w:szCs w:val="24"/>
          <w:lang w:eastAsia="mk-MK"/>
        </w:rPr>
        <w:t xml:space="preserve"> основните социо-економски параметри </w:t>
      </w:r>
      <w:r w:rsidRPr="0022798C">
        <w:rPr>
          <w:szCs w:val="24"/>
          <w:lang w:eastAsia="mk-MK"/>
        </w:rPr>
        <w:t xml:space="preserve"> </w:t>
      </w:r>
      <w:r>
        <w:rPr>
          <w:szCs w:val="24"/>
          <w:lang w:eastAsia="mk-MK"/>
        </w:rPr>
        <w:t xml:space="preserve">на </w:t>
      </w:r>
      <w:r w:rsidRPr="0022798C">
        <w:rPr>
          <w:szCs w:val="24"/>
          <w:lang w:eastAsia="mk-MK"/>
        </w:rPr>
        <w:t>Општина Дојран можеме да констатираме, дека</w:t>
      </w:r>
      <w:r>
        <w:rPr>
          <w:szCs w:val="24"/>
          <w:lang w:eastAsia="mk-MK"/>
        </w:rPr>
        <w:t xml:space="preserve"> Дојран има недостаток на работна сила во туризмот и угостителството, а особено во летната сезона, дека сместувачките и угостителстките капацитети се недоволни,  а тоа подразбира немање на конкуренција, разнообразност, што отвара сомнеж во квалитетот на понудата, услугите и слично.</w:t>
      </w:r>
      <w:r>
        <w:rPr>
          <w:szCs w:val="24"/>
          <w:lang w:eastAsia="mk-MK"/>
        </w:rPr>
        <w:tab/>
      </w:r>
    </w:p>
    <w:p w:rsidR="00A47502" w:rsidRDefault="00A47502" w:rsidP="00A47502">
      <w:pPr>
        <w:rPr>
          <w:szCs w:val="24"/>
          <w:lang w:eastAsia="mk-MK"/>
        </w:rPr>
      </w:pPr>
      <w:r>
        <w:rPr>
          <w:szCs w:val="24"/>
          <w:lang w:eastAsia="mk-MK"/>
        </w:rPr>
        <w:tab/>
        <w:t>За надминување на недостатоците</w:t>
      </w:r>
      <w:r w:rsidRPr="005D7E78">
        <w:rPr>
          <w:szCs w:val="24"/>
          <w:lang w:eastAsia="mk-MK"/>
        </w:rPr>
        <w:t xml:space="preserve"> </w:t>
      </w:r>
      <w:r>
        <w:rPr>
          <w:szCs w:val="24"/>
          <w:lang w:eastAsia="mk-MK"/>
        </w:rPr>
        <w:t xml:space="preserve">во Општина Дојран, потребни се нови инвеститори, нови туристички содржини, а од тука и зголемување на економската и туристичката миграција, која меѓудругото ќе резултира и со зголемување на бројот на доселување на ново постојано население, и на гости-туристи во текот на целата година. </w:t>
      </w:r>
    </w:p>
    <w:p w:rsidR="00A47502" w:rsidRDefault="00A47502" w:rsidP="00A47502">
      <w:pPr>
        <w:rPr>
          <w:szCs w:val="24"/>
          <w:lang w:eastAsia="mk-MK"/>
        </w:rPr>
      </w:pPr>
      <w:r>
        <w:rPr>
          <w:szCs w:val="24"/>
          <w:lang w:eastAsia="mk-MK"/>
        </w:rPr>
        <w:tab/>
        <w:t xml:space="preserve">Како дел од решението, за развој на туризмот на Оптшина Дојран, е отварање на </w:t>
      </w:r>
      <w:r w:rsidRPr="00456537">
        <w:rPr>
          <w:b/>
          <w:szCs w:val="24"/>
          <w:lang w:eastAsia="mk-MK"/>
        </w:rPr>
        <w:t>слободна туристичка зона</w:t>
      </w:r>
      <w:r>
        <w:rPr>
          <w:szCs w:val="24"/>
          <w:lang w:eastAsia="mk-MK"/>
        </w:rPr>
        <w:t xml:space="preserve"> со меѓународен предзнак, односно </w:t>
      </w:r>
      <w:r w:rsidRPr="005D7E78">
        <w:rPr>
          <w:b/>
          <w:szCs w:val="24"/>
          <w:lang w:eastAsia="mk-MK"/>
        </w:rPr>
        <w:t xml:space="preserve">ДОЈРАН </w:t>
      </w:r>
      <w:r>
        <w:rPr>
          <w:b/>
          <w:szCs w:val="24"/>
          <w:lang w:eastAsia="mk-MK"/>
        </w:rPr>
        <w:t xml:space="preserve">- </w:t>
      </w:r>
      <w:r w:rsidRPr="005D7E78">
        <w:rPr>
          <w:b/>
          <w:szCs w:val="24"/>
          <w:lang w:eastAsia="mk-MK"/>
        </w:rPr>
        <w:t>МЕЃУНАРОДНА ТУРИСТИЧКА ЗОНА</w:t>
      </w:r>
      <w:r>
        <w:rPr>
          <w:szCs w:val="24"/>
          <w:lang w:eastAsia="mk-MK"/>
        </w:rPr>
        <w:t>, давање по концесии на поголем дел од брегот на Дојранското Езеро за различна намена, како и на останатиот простор од општината, за развој на алтернативни туристичко-</w:t>
      </w:r>
      <w:r w:rsidRPr="005D7E78">
        <w:rPr>
          <w:szCs w:val="24"/>
          <w:lang w:eastAsia="mk-MK"/>
        </w:rPr>
        <w:t xml:space="preserve"> </w:t>
      </w:r>
      <w:r>
        <w:rPr>
          <w:szCs w:val="24"/>
          <w:lang w:eastAsia="mk-MK"/>
        </w:rPr>
        <w:t>угостителски содржини, разновидно земјоделско производство, кои ќе доминираат во стопанскиот развој на општината.</w:t>
      </w:r>
    </w:p>
    <w:p w:rsidR="00A47502" w:rsidRPr="00F97444" w:rsidRDefault="00A47502" w:rsidP="00A47502">
      <w:pPr>
        <w:rPr>
          <w:sz w:val="16"/>
          <w:szCs w:val="24"/>
          <w:lang w:eastAsia="mk-MK"/>
        </w:rPr>
      </w:pPr>
      <w:r>
        <w:rPr>
          <w:szCs w:val="24"/>
          <w:lang w:eastAsia="mk-MK"/>
        </w:rPr>
        <w:t xml:space="preserve">   </w:t>
      </w:r>
    </w:p>
    <w:p w:rsidR="00A47502" w:rsidRPr="00120321" w:rsidRDefault="00A47502" w:rsidP="00A47502">
      <w:pPr>
        <w:jc w:val="center"/>
        <w:rPr>
          <w:b/>
          <w:sz w:val="22"/>
          <w:szCs w:val="24"/>
          <w:lang w:eastAsia="mk-MK"/>
        </w:rPr>
      </w:pPr>
      <w:r w:rsidRPr="00120321">
        <w:rPr>
          <w:b/>
          <w:sz w:val="22"/>
          <w:szCs w:val="24"/>
          <w:lang w:eastAsia="mk-MK"/>
        </w:rPr>
        <w:t>ЛИТЕРАТУРА:</w:t>
      </w:r>
    </w:p>
    <w:p w:rsidR="00A47502" w:rsidRPr="00120321" w:rsidRDefault="00A47502" w:rsidP="00A47502">
      <w:pPr>
        <w:numPr>
          <w:ilvl w:val="0"/>
          <w:numId w:val="2"/>
        </w:numPr>
        <w:ind w:left="180" w:hanging="180"/>
        <w:rPr>
          <w:sz w:val="20"/>
          <w:szCs w:val="24"/>
          <w:lang w:eastAsia="mk-MK"/>
        </w:rPr>
      </w:pPr>
      <w:r w:rsidRPr="00120321">
        <w:rPr>
          <w:sz w:val="20"/>
          <w:szCs w:val="24"/>
          <w:lang w:eastAsia="mk-MK"/>
        </w:rPr>
        <w:t xml:space="preserve">Државен завод за статистика на РМ (2011): </w:t>
      </w:r>
      <w:r w:rsidRPr="00120321">
        <w:rPr>
          <w:i/>
          <w:sz w:val="20"/>
          <w:szCs w:val="24"/>
          <w:lang w:eastAsia="mk-MK"/>
        </w:rPr>
        <w:t>Туризам во Република Македонија</w:t>
      </w:r>
      <w:r w:rsidRPr="00120321">
        <w:rPr>
          <w:sz w:val="20"/>
          <w:szCs w:val="24"/>
          <w:lang w:eastAsia="mk-MK"/>
        </w:rPr>
        <w:t>, 2006-2010, Статистички преглед: Транспорт, туризам и други услуги, 8.4.11.01.681. Скопје, јуни 2011, стр. 34-37 и 42 (стр.43).</w:t>
      </w:r>
    </w:p>
    <w:p w:rsidR="00A47502" w:rsidRPr="00120321" w:rsidRDefault="00A47502" w:rsidP="00A47502">
      <w:pPr>
        <w:numPr>
          <w:ilvl w:val="0"/>
          <w:numId w:val="2"/>
        </w:numPr>
        <w:ind w:left="180" w:hanging="180"/>
        <w:rPr>
          <w:sz w:val="20"/>
          <w:szCs w:val="24"/>
          <w:lang w:eastAsia="mk-MK"/>
        </w:rPr>
      </w:pPr>
      <w:r w:rsidRPr="00120321">
        <w:rPr>
          <w:sz w:val="20"/>
          <w:szCs w:val="24"/>
        </w:rPr>
        <w:t xml:space="preserve">Државен завод за статистика. (2009): </w:t>
      </w:r>
      <w:r w:rsidRPr="00120321">
        <w:rPr>
          <w:i/>
          <w:sz w:val="20"/>
          <w:szCs w:val="24"/>
        </w:rPr>
        <w:t>Транспорт, туризам и други услуги: Tуризам во Rепублика Mакедонија 2004 - 2008</w:t>
      </w:r>
      <w:r w:rsidRPr="00120321">
        <w:rPr>
          <w:sz w:val="20"/>
          <w:szCs w:val="24"/>
        </w:rPr>
        <w:t>, Статистички преглед</w:t>
      </w:r>
      <w:r w:rsidRPr="00120321">
        <w:rPr>
          <w:i/>
          <w:sz w:val="20"/>
          <w:szCs w:val="24"/>
        </w:rPr>
        <w:t xml:space="preserve">: </w:t>
      </w:r>
      <w:r w:rsidRPr="00120321">
        <w:rPr>
          <w:sz w:val="20"/>
          <w:szCs w:val="24"/>
        </w:rPr>
        <w:t>Скопје</w:t>
      </w:r>
    </w:p>
    <w:p w:rsidR="00A47502" w:rsidRPr="00120321" w:rsidRDefault="00A47502" w:rsidP="00A47502">
      <w:pPr>
        <w:widowControl w:val="0"/>
        <w:numPr>
          <w:ilvl w:val="0"/>
          <w:numId w:val="2"/>
        </w:numPr>
        <w:tabs>
          <w:tab w:val="left" w:pos="0"/>
        </w:tabs>
        <w:spacing w:line="276" w:lineRule="auto"/>
        <w:ind w:left="180" w:hanging="180"/>
        <w:rPr>
          <w:sz w:val="20"/>
          <w:szCs w:val="24"/>
        </w:rPr>
      </w:pPr>
      <w:r w:rsidRPr="00120321">
        <w:rPr>
          <w:sz w:val="20"/>
          <w:szCs w:val="24"/>
        </w:rPr>
        <w:t xml:space="preserve">Државен завод за статистика. (2009): </w:t>
      </w:r>
      <w:r w:rsidRPr="00120321">
        <w:rPr>
          <w:i/>
          <w:sz w:val="20"/>
          <w:szCs w:val="24"/>
        </w:rPr>
        <w:t>Статистички годишник на Република Mакедонија 2008,</w:t>
      </w:r>
      <w:r w:rsidRPr="00120321">
        <w:rPr>
          <w:sz w:val="20"/>
          <w:szCs w:val="24"/>
        </w:rPr>
        <w:t xml:space="preserve"> Скопје.</w:t>
      </w:r>
    </w:p>
    <w:p w:rsidR="00A47502" w:rsidRPr="00120321" w:rsidRDefault="00A47502" w:rsidP="00A47502">
      <w:pPr>
        <w:numPr>
          <w:ilvl w:val="0"/>
          <w:numId w:val="2"/>
        </w:numPr>
        <w:ind w:left="180" w:hanging="180"/>
        <w:rPr>
          <w:sz w:val="20"/>
          <w:szCs w:val="24"/>
          <w:lang w:eastAsia="mk-MK"/>
        </w:rPr>
      </w:pPr>
      <w:r w:rsidRPr="00120321">
        <w:rPr>
          <w:sz w:val="20"/>
          <w:szCs w:val="24"/>
        </w:rPr>
        <w:t xml:space="preserve">Државен завод за статистика. (2012): </w:t>
      </w:r>
      <w:r w:rsidRPr="00120321">
        <w:rPr>
          <w:i/>
          <w:sz w:val="20"/>
          <w:szCs w:val="24"/>
        </w:rPr>
        <w:t>Попис на капацитетите во угостителството во Република Македонија</w:t>
      </w:r>
      <w:r w:rsidRPr="00120321">
        <w:rPr>
          <w:sz w:val="20"/>
          <w:szCs w:val="24"/>
        </w:rPr>
        <w:t>, Статистички годишник на Република Македонија, 2011, Скопје</w:t>
      </w:r>
    </w:p>
    <w:p w:rsidR="00A47502" w:rsidRPr="00120321" w:rsidRDefault="00A47502" w:rsidP="00A47502">
      <w:pPr>
        <w:numPr>
          <w:ilvl w:val="0"/>
          <w:numId w:val="2"/>
        </w:numPr>
        <w:autoSpaceDE w:val="0"/>
        <w:autoSpaceDN w:val="0"/>
        <w:adjustRightInd w:val="0"/>
        <w:ind w:left="180" w:hanging="180"/>
        <w:jc w:val="left"/>
        <w:rPr>
          <w:sz w:val="20"/>
          <w:szCs w:val="24"/>
        </w:rPr>
      </w:pPr>
      <w:r w:rsidRPr="00120321">
        <w:rPr>
          <w:sz w:val="20"/>
          <w:szCs w:val="24"/>
        </w:rPr>
        <w:t xml:space="preserve">Државен завод за статистика. (2012): Статистички преглед: Транспорт, туризам и други услуги; Туризам во Република Македонија, 2007-2011, Скопје  </w:t>
      </w:r>
    </w:p>
    <w:p w:rsidR="00A47502" w:rsidRPr="00120321" w:rsidRDefault="00A47502" w:rsidP="00A47502">
      <w:pPr>
        <w:numPr>
          <w:ilvl w:val="0"/>
          <w:numId w:val="2"/>
        </w:numPr>
        <w:ind w:left="180" w:hanging="180"/>
        <w:rPr>
          <w:sz w:val="20"/>
          <w:szCs w:val="24"/>
          <w:lang w:eastAsia="mk-MK"/>
        </w:rPr>
      </w:pPr>
      <w:r w:rsidRPr="00120321">
        <w:rPr>
          <w:sz w:val="20"/>
          <w:szCs w:val="24"/>
        </w:rPr>
        <w:t>Државен завод за статистика</w:t>
      </w:r>
      <w:r w:rsidRPr="00120321">
        <w:rPr>
          <w:sz w:val="20"/>
          <w:szCs w:val="24"/>
          <w:lang w:eastAsia="mk-MK"/>
        </w:rPr>
        <w:t xml:space="preserve"> (2004): Попис на населението, домаќинствата и становите во Република Македонија, 2002. Вкупно население, домаќинства и станови, според територијалната организација на Република Македонија од 2004 година, Книга </w:t>
      </w:r>
      <w:r w:rsidRPr="00120321">
        <w:rPr>
          <w:sz w:val="20"/>
          <w:szCs w:val="24"/>
          <w:lang w:val="en-US" w:eastAsia="mk-MK"/>
        </w:rPr>
        <w:t>XIII</w:t>
      </w:r>
      <w:r w:rsidRPr="00120321">
        <w:rPr>
          <w:sz w:val="20"/>
          <w:szCs w:val="24"/>
          <w:lang w:eastAsia="mk-MK"/>
        </w:rPr>
        <w:t>, Скопје</w:t>
      </w:r>
    </w:p>
    <w:p w:rsidR="00FB5191" w:rsidRPr="00120321" w:rsidRDefault="00A47502" w:rsidP="00120321">
      <w:pPr>
        <w:numPr>
          <w:ilvl w:val="0"/>
          <w:numId w:val="2"/>
        </w:numPr>
        <w:spacing w:line="276" w:lineRule="auto"/>
        <w:ind w:left="180" w:hanging="180"/>
        <w:rPr>
          <w:sz w:val="22"/>
        </w:rPr>
      </w:pPr>
      <w:r w:rsidRPr="00120321">
        <w:rPr>
          <w:sz w:val="20"/>
          <w:szCs w:val="24"/>
        </w:rPr>
        <w:t xml:space="preserve">Влада на Република Македонија. (2012): </w:t>
      </w:r>
      <w:r w:rsidRPr="00120321">
        <w:rPr>
          <w:i/>
          <w:sz w:val="20"/>
          <w:szCs w:val="24"/>
        </w:rPr>
        <w:t>Национална стратегија за развој на туризмот 2011</w:t>
      </w:r>
    </w:p>
    <w:sectPr w:rsidR="00FB5191" w:rsidRPr="00120321" w:rsidSect="00A47502">
      <w:headerReference w:type="default" r:id="rId16"/>
      <w:footerReference w:type="default" r:id="rId17"/>
      <w:headerReference w:type="first" r:id="rId18"/>
      <w:footerReference w:type="first" r:id="rId19"/>
      <w:pgSz w:w="10319" w:h="14571" w:code="13"/>
      <w:pgMar w:top="1440" w:right="1642" w:bottom="1440" w:left="1627" w:header="720" w:footer="720" w:gutter="0"/>
      <w:pgNumType w:start="8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069" w:rsidRDefault="00F37069" w:rsidP="00A47502">
      <w:r>
        <w:separator/>
      </w:r>
    </w:p>
  </w:endnote>
  <w:endnote w:type="continuationSeparator" w:id="1">
    <w:p w:rsidR="00F37069" w:rsidRDefault="00F37069" w:rsidP="00A47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cedonian Tm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0236"/>
      <w:docPartObj>
        <w:docPartGallery w:val="Page Numbers (Bottom of Page)"/>
        <w:docPartUnique/>
      </w:docPartObj>
    </w:sdtPr>
    <w:sdtContent>
      <w:p w:rsidR="00A47502" w:rsidRDefault="00A47502" w:rsidP="00A47502">
        <w:pPr>
          <w:pStyle w:val="Footer"/>
          <w:jc w:val="center"/>
        </w:pPr>
        <w:r>
          <w:pict>
            <v:shapetype id="_x0000_t110" coordsize="21600,21600" o:spt="110" path="m10800,l,10800,10800,21600,21600,10800xe">
              <v:stroke joinstyle="miter"/>
              <v:path gradientshapeok="t" o:connecttype="rect" textboxrect="5400,5400,16200,16200"/>
            </v:shapetype>
            <v:shape id="_x0000_s2050"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A47502" w:rsidRDefault="00A47502" w:rsidP="00A47502">
        <w:pPr>
          <w:pStyle w:val="Footer"/>
          <w:jc w:val="center"/>
        </w:pPr>
        <w:fldSimple w:instr=" PAGE    \* MERGEFORMAT ">
          <w:r w:rsidR="00120321">
            <w:rPr>
              <w:noProof/>
            </w:rPr>
            <w:t>82</w:t>
          </w:r>
        </w:fldSimple>
      </w:p>
    </w:sdtContent>
  </w:sdt>
  <w:p w:rsidR="00A47502" w:rsidRDefault="00A475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0228"/>
      <w:docPartObj>
        <w:docPartGallery w:val="Page Numbers (Bottom of Page)"/>
        <w:docPartUnique/>
      </w:docPartObj>
    </w:sdtPr>
    <w:sdtContent>
      <w:p w:rsidR="00A47502" w:rsidRDefault="00A47502">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A47502" w:rsidRDefault="00A47502">
        <w:pPr>
          <w:pStyle w:val="Footer"/>
          <w:jc w:val="center"/>
        </w:pPr>
        <w:fldSimple w:instr=" PAGE    \* MERGEFORMAT ">
          <w:r w:rsidR="00120321">
            <w:rPr>
              <w:noProof/>
            </w:rPr>
            <w:t>81</w:t>
          </w:r>
        </w:fldSimple>
      </w:p>
    </w:sdtContent>
  </w:sdt>
  <w:p w:rsidR="00A47502" w:rsidRDefault="00A475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069" w:rsidRDefault="00F37069" w:rsidP="00A47502">
      <w:r>
        <w:separator/>
      </w:r>
    </w:p>
  </w:footnote>
  <w:footnote w:type="continuationSeparator" w:id="1">
    <w:p w:rsidR="00F37069" w:rsidRDefault="00F37069" w:rsidP="00A47502">
      <w:r>
        <w:continuationSeparator/>
      </w:r>
    </w:p>
  </w:footnote>
  <w:footnote w:id="2">
    <w:p w:rsidR="00A47502" w:rsidRDefault="00A47502" w:rsidP="00A47502">
      <w:pPr>
        <w:pStyle w:val="FootnoteText"/>
        <w:ind w:firstLine="0"/>
      </w:pPr>
      <w:r>
        <w:rPr>
          <w:rStyle w:val="FootnoteReference"/>
          <w:rFonts w:eastAsiaTheme="majorEastAsia"/>
        </w:rPr>
        <w:footnoteRef/>
      </w:r>
      <w:r>
        <w:t xml:space="preserve"> </w:t>
      </w:r>
      <w:r w:rsidRPr="007840AB">
        <w:rPr>
          <w:rFonts w:ascii="Times New Roman" w:hAnsi="Times New Roman"/>
        </w:rPr>
        <w:t xml:space="preserve">Доц. д-р </w:t>
      </w:r>
      <w:r>
        <w:rPr>
          <w:rFonts w:ascii="Times New Roman" w:hAnsi="Times New Roman"/>
        </w:rPr>
        <w:t>Никола Димитров</w:t>
      </w:r>
      <w:r w:rsidRPr="007840AB">
        <w:rPr>
          <w:rFonts w:ascii="Times New Roman" w:hAnsi="Times New Roman"/>
        </w:rPr>
        <w:t xml:space="preserve">, Универзитет “Гоце Делчев” - Штип, Факултет за туризам и бизнис логистика - Гевгелија, е-мејл: </w:t>
      </w:r>
      <w:r>
        <w:rPr>
          <w:rFonts w:ascii="Times New Roman" w:hAnsi="Times New Roman"/>
        </w:rPr>
        <w:t>nikola.dimitrov</w:t>
      </w:r>
      <w:r w:rsidRPr="007840AB">
        <w:rPr>
          <w:rFonts w:ascii="Times New Roman" w:hAnsi="Times New Roman"/>
        </w:rPr>
        <w:t>@ugd.edu.mk</w:t>
      </w:r>
    </w:p>
  </w:footnote>
  <w:footnote w:id="3">
    <w:p w:rsidR="00A47502" w:rsidRDefault="00A47502" w:rsidP="00A47502">
      <w:pPr>
        <w:pStyle w:val="FootnoteText"/>
        <w:ind w:firstLine="0"/>
      </w:pPr>
      <w:r>
        <w:rPr>
          <w:rStyle w:val="FootnoteReference"/>
          <w:rFonts w:eastAsiaTheme="majorEastAsia"/>
        </w:rPr>
        <w:footnoteRef/>
      </w:r>
      <w:r>
        <w:t xml:space="preserve"> </w:t>
      </w:r>
      <w:r>
        <w:rPr>
          <w:rFonts w:ascii="Times New Roman" w:hAnsi="Times New Roman"/>
        </w:rPr>
        <w:t>м</w:t>
      </w:r>
      <w:r w:rsidRPr="007840AB">
        <w:rPr>
          <w:rFonts w:ascii="Times New Roman" w:hAnsi="Times New Roman"/>
        </w:rPr>
        <w:t xml:space="preserve">-р </w:t>
      </w:r>
      <w:r>
        <w:rPr>
          <w:rFonts w:ascii="Times New Roman" w:hAnsi="Times New Roman"/>
        </w:rPr>
        <w:t>Душко Јошески</w:t>
      </w:r>
      <w:r w:rsidRPr="007840AB">
        <w:rPr>
          <w:rFonts w:ascii="Times New Roman" w:hAnsi="Times New Roman"/>
        </w:rPr>
        <w:t xml:space="preserve">, Универзитет “Гоце Делчев” - Штип, Факултет за туризам и бизнис логистика - Гевгелија, е-мејл: </w:t>
      </w:r>
      <w:r>
        <w:rPr>
          <w:rFonts w:ascii="Times New Roman" w:hAnsi="Times New Roman"/>
        </w:rPr>
        <w:t>dusko.josevski</w:t>
      </w:r>
      <w:r w:rsidRPr="007840AB">
        <w:rPr>
          <w:rFonts w:ascii="Times New Roman" w:hAnsi="Times New Roman"/>
        </w:rPr>
        <w:t>@ugd.edu.mk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502" w:rsidRPr="00D63402" w:rsidRDefault="00A47502" w:rsidP="00A47502">
    <w:pPr>
      <w:pStyle w:val="Header"/>
      <w:pBdr>
        <w:bottom w:val="single" w:sz="4" w:space="1" w:color="auto"/>
        <w:between w:val="single" w:sz="4" w:space="1" w:color="4F81BD" w:themeColor="accent1"/>
      </w:pBdr>
      <w:spacing w:line="276" w:lineRule="auto"/>
      <w:jc w:val="center"/>
    </w:pPr>
    <w:sdt>
      <w:sdtPr>
        <w:alias w:val="Title"/>
        <w:id w:val="17440226"/>
        <w:placeholder>
          <w:docPart w:val="2647995DD8CB40808F4C7A9B21A41D7D"/>
        </w:placeholder>
        <w:dataBinding w:prefixMappings="xmlns:ns0='http://schemas.openxmlformats.org/package/2006/metadata/core-properties' xmlns:ns1='http://purl.org/dc/elements/1.1/'" w:xpath="/ns0:coreProperties[1]/ns1:title[1]" w:storeItemID="{6C3C8BC8-F283-45AE-878A-BAB7291924A1}"/>
        <w:text/>
      </w:sdtPr>
      <w:sdtContent>
        <w:r>
          <w:t>ТУРИЗМОТ ВО ДОЈРАНСКИОТ РЕГИОН</w:t>
        </w:r>
      </w:sdtContent>
    </w:sdt>
  </w:p>
  <w:sdt>
    <w:sdtPr>
      <w:rPr>
        <w:rFonts w:ascii="Calibri" w:eastAsiaTheme="minorHAnsi" w:hAnsi="Calibri" w:cs="Calibri"/>
        <w:bCs/>
        <w:smallCaps/>
        <w:kern w:val="28"/>
        <w:sz w:val="20"/>
        <w:szCs w:val="28"/>
        <w:lang w:val="en-US"/>
      </w:rPr>
      <w:alias w:val="Date"/>
      <w:id w:val="17440227"/>
      <w:placeholder>
        <w:docPart w:val="C495F7741F404C9992B28A9E6BFC412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A47502" w:rsidRDefault="00A47502" w:rsidP="00A47502">
        <w:pPr>
          <w:pStyle w:val="Header"/>
          <w:jc w:val="center"/>
        </w:pPr>
        <w:r w:rsidRPr="00A47502">
          <w:rPr>
            <w:rFonts w:ascii="Calibri" w:eastAsiaTheme="minorHAnsi" w:hAnsi="Calibri" w:cs="Calibri"/>
            <w:bCs/>
            <w:smallCaps/>
            <w:kern w:val="28"/>
            <w:sz w:val="20"/>
            <w:szCs w:val="28"/>
            <w:lang w:val="en-US"/>
          </w:rPr>
          <w:t>ДОЈРАН, АПРИЛ, 20. 2012</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502" w:rsidRPr="00D63402" w:rsidRDefault="00A47502" w:rsidP="00A47502">
    <w:pPr>
      <w:pStyle w:val="Header"/>
      <w:pBdr>
        <w:bottom w:val="single" w:sz="4" w:space="1" w:color="auto"/>
        <w:between w:val="single" w:sz="4" w:space="1" w:color="4F81BD" w:themeColor="accent1"/>
      </w:pBdr>
      <w:spacing w:line="276" w:lineRule="auto"/>
      <w:jc w:val="center"/>
    </w:pPr>
    <w:sdt>
      <w:sdtPr>
        <w:alias w:val="Title"/>
        <w:id w:val="77547040"/>
        <w:placeholder>
          <w:docPart w:val="33FD5F4D9A9F4137BC443457C603F557"/>
        </w:placeholder>
        <w:dataBinding w:prefixMappings="xmlns:ns0='http://schemas.openxmlformats.org/package/2006/metadata/core-properties' xmlns:ns1='http://purl.org/dc/elements/1.1/'" w:xpath="/ns0:coreProperties[1]/ns1:title[1]" w:storeItemID="{6C3C8BC8-F283-45AE-878A-BAB7291924A1}"/>
        <w:text/>
      </w:sdtPr>
      <w:sdtContent>
        <w:r>
          <w:t>ТУРИЗМОТ ВО ДОЈРАНСКИОТ РЕГИОН</w:t>
        </w:r>
      </w:sdtContent>
    </w:sdt>
  </w:p>
  <w:sdt>
    <w:sdtPr>
      <w:rPr>
        <w:rFonts w:ascii="Calibri" w:eastAsiaTheme="minorHAnsi" w:hAnsi="Calibri" w:cs="Calibri"/>
        <w:bCs/>
        <w:smallCaps/>
        <w:kern w:val="28"/>
        <w:sz w:val="20"/>
        <w:szCs w:val="28"/>
        <w:lang w:val="en-US"/>
      </w:rPr>
      <w:alias w:val="Date"/>
      <w:id w:val="77547044"/>
      <w:placeholder>
        <w:docPart w:val="EF79E26A563F410A8C31E894DF6E23A2"/>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A47502" w:rsidRDefault="00A47502" w:rsidP="00A47502">
        <w:pPr>
          <w:pStyle w:val="Header"/>
          <w:jc w:val="center"/>
        </w:pPr>
        <w:r w:rsidRPr="00A47502">
          <w:rPr>
            <w:rFonts w:ascii="Calibri" w:eastAsiaTheme="minorHAnsi" w:hAnsi="Calibri" w:cs="Calibri"/>
            <w:bCs/>
            <w:smallCaps/>
            <w:kern w:val="28"/>
            <w:sz w:val="20"/>
            <w:szCs w:val="28"/>
            <w:lang w:val="en-US"/>
          </w:rPr>
          <w:t>ДОЈРАН, АПРИЛ, 20. 2012</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643F0"/>
    <w:multiLevelType w:val="hybridMultilevel"/>
    <w:tmpl w:val="76AC3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E6311B"/>
    <w:multiLevelType w:val="hybridMultilevel"/>
    <w:tmpl w:val="791216B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47502"/>
    <w:rsid w:val="0000192D"/>
    <w:rsid w:val="00006492"/>
    <w:rsid w:val="00010B62"/>
    <w:rsid w:val="00012954"/>
    <w:rsid w:val="00015B84"/>
    <w:rsid w:val="000164D4"/>
    <w:rsid w:val="000167AD"/>
    <w:rsid w:val="00017312"/>
    <w:rsid w:val="00017377"/>
    <w:rsid w:val="000209B9"/>
    <w:rsid w:val="00021D49"/>
    <w:rsid w:val="000234EE"/>
    <w:rsid w:val="00032493"/>
    <w:rsid w:val="00032643"/>
    <w:rsid w:val="00033F83"/>
    <w:rsid w:val="00036D82"/>
    <w:rsid w:val="000379D9"/>
    <w:rsid w:val="00041895"/>
    <w:rsid w:val="00041E34"/>
    <w:rsid w:val="00043B9F"/>
    <w:rsid w:val="0004620D"/>
    <w:rsid w:val="000467B8"/>
    <w:rsid w:val="00047D57"/>
    <w:rsid w:val="0005004D"/>
    <w:rsid w:val="000529A2"/>
    <w:rsid w:val="00053196"/>
    <w:rsid w:val="000536B7"/>
    <w:rsid w:val="00053F6E"/>
    <w:rsid w:val="000544AA"/>
    <w:rsid w:val="00057F0E"/>
    <w:rsid w:val="00067B16"/>
    <w:rsid w:val="000731C4"/>
    <w:rsid w:val="00077C20"/>
    <w:rsid w:val="00080C95"/>
    <w:rsid w:val="00081EDE"/>
    <w:rsid w:val="00083091"/>
    <w:rsid w:val="00086D7E"/>
    <w:rsid w:val="000902E7"/>
    <w:rsid w:val="000938ED"/>
    <w:rsid w:val="00093907"/>
    <w:rsid w:val="00097688"/>
    <w:rsid w:val="0009789E"/>
    <w:rsid w:val="000A1ABC"/>
    <w:rsid w:val="000A50E7"/>
    <w:rsid w:val="000A540E"/>
    <w:rsid w:val="000A552C"/>
    <w:rsid w:val="000A706B"/>
    <w:rsid w:val="000B63A5"/>
    <w:rsid w:val="000B7BAF"/>
    <w:rsid w:val="000C4EF6"/>
    <w:rsid w:val="000C6824"/>
    <w:rsid w:val="000C6A8E"/>
    <w:rsid w:val="000C7515"/>
    <w:rsid w:val="000C7794"/>
    <w:rsid w:val="000D191D"/>
    <w:rsid w:val="000D46C1"/>
    <w:rsid w:val="000D6A12"/>
    <w:rsid w:val="000E3EBB"/>
    <w:rsid w:val="000E7A70"/>
    <w:rsid w:val="000F180D"/>
    <w:rsid w:val="000F327F"/>
    <w:rsid w:val="001006B1"/>
    <w:rsid w:val="001029D5"/>
    <w:rsid w:val="0010310C"/>
    <w:rsid w:val="00110BDD"/>
    <w:rsid w:val="001134B0"/>
    <w:rsid w:val="00120321"/>
    <w:rsid w:val="00120B5A"/>
    <w:rsid w:val="00125C82"/>
    <w:rsid w:val="00132EE1"/>
    <w:rsid w:val="00135958"/>
    <w:rsid w:val="00150BF3"/>
    <w:rsid w:val="001514D5"/>
    <w:rsid w:val="00156B23"/>
    <w:rsid w:val="001661E6"/>
    <w:rsid w:val="0016724B"/>
    <w:rsid w:val="00171395"/>
    <w:rsid w:val="0017417E"/>
    <w:rsid w:val="00176782"/>
    <w:rsid w:val="001828D7"/>
    <w:rsid w:val="00185276"/>
    <w:rsid w:val="00186983"/>
    <w:rsid w:val="00186A59"/>
    <w:rsid w:val="00187533"/>
    <w:rsid w:val="00191577"/>
    <w:rsid w:val="001A2528"/>
    <w:rsid w:val="001A2D3A"/>
    <w:rsid w:val="001A6A5D"/>
    <w:rsid w:val="001B0A66"/>
    <w:rsid w:val="001B129B"/>
    <w:rsid w:val="001C00B7"/>
    <w:rsid w:val="001C1B47"/>
    <w:rsid w:val="001C4646"/>
    <w:rsid w:val="001C726F"/>
    <w:rsid w:val="001D051D"/>
    <w:rsid w:val="001E0112"/>
    <w:rsid w:val="001E66A5"/>
    <w:rsid w:val="001F1785"/>
    <w:rsid w:val="001F513D"/>
    <w:rsid w:val="001F554F"/>
    <w:rsid w:val="00201914"/>
    <w:rsid w:val="00203033"/>
    <w:rsid w:val="00204699"/>
    <w:rsid w:val="00211FEC"/>
    <w:rsid w:val="00212404"/>
    <w:rsid w:val="00212EE7"/>
    <w:rsid w:val="0021386E"/>
    <w:rsid w:val="00216D24"/>
    <w:rsid w:val="00217DC4"/>
    <w:rsid w:val="00225A30"/>
    <w:rsid w:val="0022664C"/>
    <w:rsid w:val="00226C1F"/>
    <w:rsid w:val="0023197B"/>
    <w:rsid w:val="002348F1"/>
    <w:rsid w:val="002401AB"/>
    <w:rsid w:val="00241FFA"/>
    <w:rsid w:val="00243BFC"/>
    <w:rsid w:val="0024624A"/>
    <w:rsid w:val="0024681A"/>
    <w:rsid w:val="002468E9"/>
    <w:rsid w:val="002573B9"/>
    <w:rsid w:val="00262756"/>
    <w:rsid w:val="00266050"/>
    <w:rsid w:val="00274FDA"/>
    <w:rsid w:val="00275B5A"/>
    <w:rsid w:val="00276938"/>
    <w:rsid w:val="00280CE9"/>
    <w:rsid w:val="00284C78"/>
    <w:rsid w:val="00293983"/>
    <w:rsid w:val="002953A6"/>
    <w:rsid w:val="002A2444"/>
    <w:rsid w:val="002A6AC9"/>
    <w:rsid w:val="002B38B1"/>
    <w:rsid w:val="002B5671"/>
    <w:rsid w:val="002C4C07"/>
    <w:rsid w:val="002C79BC"/>
    <w:rsid w:val="002D25D5"/>
    <w:rsid w:val="002D6404"/>
    <w:rsid w:val="002E08B7"/>
    <w:rsid w:val="002E3739"/>
    <w:rsid w:val="002E3AD2"/>
    <w:rsid w:val="002E6144"/>
    <w:rsid w:val="002E615A"/>
    <w:rsid w:val="002F0230"/>
    <w:rsid w:val="002F0325"/>
    <w:rsid w:val="002F32BE"/>
    <w:rsid w:val="002F34CC"/>
    <w:rsid w:val="002F4B99"/>
    <w:rsid w:val="002F6D7E"/>
    <w:rsid w:val="00302FF5"/>
    <w:rsid w:val="00305EC1"/>
    <w:rsid w:val="003101EA"/>
    <w:rsid w:val="003146DD"/>
    <w:rsid w:val="00314B93"/>
    <w:rsid w:val="00315A0A"/>
    <w:rsid w:val="003205FE"/>
    <w:rsid w:val="00321144"/>
    <w:rsid w:val="00322FE4"/>
    <w:rsid w:val="0032347B"/>
    <w:rsid w:val="00334164"/>
    <w:rsid w:val="00335A3D"/>
    <w:rsid w:val="00344026"/>
    <w:rsid w:val="003534D9"/>
    <w:rsid w:val="00354813"/>
    <w:rsid w:val="0036182A"/>
    <w:rsid w:val="003628EC"/>
    <w:rsid w:val="003634A9"/>
    <w:rsid w:val="003644CF"/>
    <w:rsid w:val="00375057"/>
    <w:rsid w:val="003761C4"/>
    <w:rsid w:val="003774E4"/>
    <w:rsid w:val="00380D73"/>
    <w:rsid w:val="003843FD"/>
    <w:rsid w:val="00386DC3"/>
    <w:rsid w:val="003903B2"/>
    <w:rsid w:val="003960FB"/>
    <w:rsid w:val="003A1C70"/>
    <w:rsid w:val="003A2414"/>
    <w:rsid w:val="003A3CE2"/>
    <w:rsid w:val="003A49D6"/>
    <w:rsid w:val="003B062D"/>
    <w:rsid w:val="003B18A9"/>
    <w:rsid w:val="003B1A84"/>
    <w:rsid w:val="003B42E0"/>
    <w:rsid w:val="003B439F"/>
    <w:rsid w:val="003C4DAD"/>
    <w:rsid w:val="003C636E"/>
    <w:rsid w:val="003C74BC"/>
    <w:rsid w:val="003D0E84"/>
    <w:rsid w:val="003D6200"/>
    <w:rsid w:val="003D688C"/>
    <w:rsid w:val="003E1F1B"/>
    <w:rsid w:val="003E5D80"/>
    <w:rsid w:val="003F16C4"/>
    <w:rsid w:val="003F4FC7"/>
    <w:rsid w:val="003F6E04"/>
    <w:rsid w:val="00400D0C"/>
    <w:rsid w:val="00401302"/>
    <w:rsid w:val="00402A7E"/>
    <w:rsid w:val="00403DF6"/>
    <w:rsid w:val="00405F01"/>
    <w:rsid w:val="00407CC3"/>
    <w:rsid w:val="00411A72"/>
    <w:rsid w:val="00411CFB"/>
    <w:rsid w:val="0041524E"/>
    <w:rsid w:val="004178DC"/>
    <w:rsid w:val="00420475"/>
    <w:rsid w:val="00423C62"/>
    <w:rsid w:val="0042415B"/>
    <w:rsid w:val="00424434"/>
    <w:rsid w:val="00427113"/>
    <w:rsid w:val="00427DF6"/>
    <w:rsid w:val="00437E79"/>
    <w:rsid w:val="00440A69"/>
    <w:rsid w:val="0044157C"/>
    <w:rsid w:val="00442BBA"/>
    <w:rsid w:val="00442D41"/>
    <w:rsid w:val="00445BBF"/>
    <w:rsid w:val="00453218"/>
    <w:rsid w:val="00454B59"/>
    <w:rsid w:val="00457B3C"/>
    <w:rsid w:val="004601B2"/>
    <w:rsid w:val="00460277"/>
    <w:rsid w:val="004606DF"/>
    <w:rsid w:val="00461867"/>
    <w:rsid w:val="00465367"/>
    <w:rsid w:val="00465554"/>
    <w:rsid w:val="004671DD"/>
    <w:rsid w:val="00472F59"/>
    <w:rsid w:val="00474BBD"/>
    <w:rsid w:val="00482E81"/>
    <w:rsid w:val="00483588"/>
    <w:rsid w:val="0048486F"/>
    <w:rsid w:val="00485BCB"/>
    <w:rsid w:val="00492B42"/>
    <w:rsid w:val="00497246"/>
    <w:rsid w:val="004A260E"/>
    <w:rsid w:val="004A2A5F"/>
    <w:rsid w:val="004A4A1C"/>
    <w:rsid w:val="004A4CED"/>
    <w:rsid w:val="004A6F13"/>
    <w:rsid w:val="004A7FBF"/>
    <w:rsid w:val="004B63B6"/>
    <w:rsid w:val="004C3B62"/>
    <w:rsid w:val="004D02B5"/>
    <w:rsid w:val="004D35D4"/>
    <w:rsid w:val="004D3A8C"/>
    <w:rsid w:val="004D6537"/>
    <w:rsid w:val="004D7F17"/>
    <w:rsid w:val="004E0C1F"/>
    <w:rsid w:val="004E71B3"/>
    <w:rsid w:val="004F449A"/>
    <w:rsid w:val="004F5771"/>
    <w:rsid w:val="004F5A0B"/>
    <w:rsid w:val="004F6042"/>
    <w:rsid w:val="004F6D57"/>
    <w:rsid w:val="00500735"/>
    <w:rsid w:val="00500787"/>
    <w:rsid w:val="00501660"/>
    <w:rsid w:val="00511315"/>
    <w:rsid w:val="005113A2"/>
    <w:rsid w:val="00512446"/>
    <w:rsid w:val="0051631C"/>
    <w:rsid w:val="00516370"/>
    <w:rsid w:val="005200E5"/>
    <w:rsid w:val="005236D8"/>
    <w:rsid w:val="00525FA1"/>
    <w:rsid w:val="00526B9F"/>
    <w:rsid w:val="00532825"/>
    <w:rsid w:val="00537A8A"/>
    <w:rsid w:val="00540825"/>
    <w:rsid w:val="005421BE"/>
    <w:rsid w:val="00542FCE"/>
    <w:rsid w:val="00553813"/>
    <w:rsid w:val="00554577"/>
    <w:rsid w:val="005625FF"/>
    <w:rsid w:val="0056678E"/>
    <w:rsid w:val="00566C58"/>
    <w:rsid w:val="005709B5"/>
    <w:rsid w:val="00573940"/>
    <w:rsid w:val="00573E6C"/>
    <w:rsid w:val="0057617F"/>
    <w:rsid w:val="00581EB8"/>
    <w:rsid w:val="00582813"/>
    <w:rsid w:val="005838B1"/>
    <w:rsid w:val="00585A59"/>
    <w:rsid w:val="0059091B"/>
    <w:rsid w:val="00593B9C"/>
    <w:rsid w:val="00596819"/>
    <w:rsid w:val="005A46EE"/>
    <w:rsid w:val="005A4FAF"/>
    <w:rsid w:val="005B015B"/>
    <w:rsid w:val="005B3894"/>
    <w:rsid w:val="005B6BBC"/>
    <w:rsid w:val="005C06BB"/>
    <w:rsid w:val="005C4B28"/>
    <w:rsid w:val="005C647E"/>
    <w:rsid w:val="005C7D3F"/>
    <w:rsid w:val="005D152E"/>
    <w:rsid w:val="005D371D"/>
    <w:rsid w:val="005D3D1E"/>
    <w:rsid w:val="005E15D1"/>
    <w:rsid w:val="005E255A"/>
    <w:rsid w:val="005E4594"/>
    <w:rsid w:val="005F5646"/>
    <w:rsid w:val="005F712D"/>
    <w:rsid w:val="00601772"/>
    <w:rsid w:val="0060265F"/>
    <w:rsid w:val="0060669A"/>
    <w:rsid w:val="00611BBB"/>
    <w:rsid w:val="00613F8E"/>
    <w:rsid w:val="00617199"/>
    <w:rsid w:val="006233C2"/>
    <w:rsid w:val="006301F6"/>
    <w:rsid w:val="00630D52"/>
    <w:rsid w:val="00633B20"/>
    <w:rsid w:val="006369AD"/>
    <w:rsid w:val="00641679"/>
    <w:rsid w:val="00646B6F"/>
    <w:rsid w:val="006474F8"/>
    <w:rsid w:val="006477FD"/>
    <w:rsid w:val="00650AEC"/>
    <w:rsid w:val="00650D81"/>
    <w:rsid w:val="006575F5"/>
    <w:rsid w:val="00657979"/>
    <w:rsid w:val="00671AA3"/>
    <w:rsid w:val="006741C0"/>
    <w:rsid w:val="00676339"/>
    <w:rsid w:val="006767BF"/>
    <w:rsid w:val="006807EE"/>
    <w:rsid w:val="00682123"/>
    <w:rsid w:val="006841F7"/>
    <w:rsid w:val="006860C9"/>
    <w:rsid w:val="00690F32"/>
    <w:rsid w:val="006922D4"/>
    <w:rsid w:val="006A57A8"/>
    <w:rsid w:val="006B44CE"/>
    <w:rsid w:val="006C06F3"/>
    <w:rsid w:val="006C1CFB"/>
    <w:rsid w:val="006D21A8"/>
    <w:rsid w:val="006D2C2C"/>
    <w:rsid w:val="006D75F3"/>
    <w:rsid w:val="006E0693"/>
    <w:rsid w:val="006E25AC"/>
    <w:rsid w:val="006E6C12"/>
    <w:rsid w:val="006E70D5"/>
    <w:rsid w:val="006F082A"/>
    <w:rsid w:val="006F107E"/>
    <w:rsid w:val="006F5768"/>
    <w:rsid w:val="0070138C"/>
    <w:rsid w:val="007026A5"/>
    <w:rsid w:val="00704293"/>
    <w:rsid w:val="0070578D"/>
    <w:rsid w:val="00711F10"/>
    <w:rsid w:val="0071220A"/>
    <w:rsid w:val="00716256"/>
    <w:rsid w:val="00720A6F"/>
    <w:rsid w:val="007225A2"/>
    <w:rsid w:val="00725636"/>
    <w:rsid w:val="007279F7"/>
    <w:rsid w:val="00731D4E"/>
    <w:rsid w:val="00747328"/>
    <w:rsid w:val="00754807"/>
    <w:rsid w:val="007578CE"/>
    <w:rsid w:val="0076130F"/>
    <w:rsid w:val="007622F4"/>
    <w:rsid w:val="00763EEB"/>
    <w:rsid w:val="00765E42"/>
    <w:rsid w:val="00770D9A"/>
    <w:rsid w:val="0077119A"/>
    <w:rsid w:val="00771A8F"/>
    <w:rsid w:val="007725B1"/>
    <w:rsid w:val="00772887"/>
    <w:rsid w:val="0077444B"/>
    <w:rsid w:val="00776F77"/>
    <w:rsid w:val="0077734A"/>
    <w:rsid w:val="0077798F"/>
    <w:rsid w:val="00780997"/>
    <w:rsid w:val="007813E1"/>
    <w:rsid w:val="00782F03"/>
    <w:rsid w:val="00794F71"/>
    <w:rsid w:val="00797E6A"/>
    <w:rsid w:val="007A1277"/>
    <w:rsid w:val="007A3259"/>
    <w:rsid w:val="007A6905"/>
    <w:rsid w:val="007A76FB"/>
    <w:rsid w:val="007B1F60"/>
    <w:rsid w:val="007B50FA"/>
    <w:rsid w:val="007B56F9"/>
    <w:rsid w:val="007B7FE8"/>
    <w:rsid w:val="007C333F"/>
    <w:rsid w:val="007C42D1"/>
    <w:rsid w:val="007C7453"/>
    <w:rsid w:val="007D159A"/>
    <w:rsid w:val="007D5D61"/>
    <w:rsid w:val="007E0F70"/>
    <w:rsid w:val="007E5CF2"/>
    <w:rsid w:val="007F0C6C"/>
    <w:rsid w:val="007F11EB"/>
    <w:rsid w:val="007F31DA"/>
    <w:rsid w:val="007F677A"/>
    <w:rsid w:val="007F6CFC"/>
    <w:rsid w:val="008000FF"/>
    <w:rsid w:val="00800603"/>
    <w:rsid w:val="00803272"/>
    <w:rsid w:val="00805475"/>
    <w:rsid w:val="0080592A"/>
    <w:rsid w:val="00807399"/>
    <w:rsid w:val="00813A90"/>
    <w:rsid w:val="00815D54"/>
    <w:rsid w:val="00816673"/>
    <w:rsid w:val="008168B8"/>
    <w:rsid w:val="0082090A"/>
    <w:rsid w:val="00824510"/>
    <w:rsid w:val="00830D81"/>
    <w:rsid w:val="00832DF5"/>
    <w:rsid w:val="008339F3"/>
    <w:rsid w:val="00833BEE"/>
    <w:rsid w:val="008358B6"/>
    <w:rsid w:val="00842AB8"/>
    <w:rsid w:val="00844EAE"/>
    <w:rsid w:val="008458D5"/>
    <w:rsid w:val="008469AD"/>
    <w:rsid w:val="00847776"/>
    <w:rsid w:val="00847F22"/>
    <w:rsid w:val="0085190A"/>
    <w:rsid w:val="00853456"/>
    <w:rsid w:val="00854C6B"/>
    <w:rsid w:val="008561F6"/>
    <w:rsid w:val="00861C5D"/>
    <w:rsid w:val="0086332F"/>
    <w:rsid w:val="008649C0"/>
    <w:rsid w:val="0086779D"/>
    <w:rsid w:val="00871398"/>
    <w:rsid w:val="008734CC"/>
    <w:rsid w:val="0087486A"/>
    <w:rsid w:val="0087642D"/>
    <w:rsid w:val="008772A0"/>
    <w:rsid w:val="00881630"/>
    <w:rsid w:val="00881C4C"/>
    <w:rsid w:val="00882DEA"/>
    <w:rsid w:val="0089026B"/>
    <w:rsid w:val="008902F6"/>
    <w:rsid w:val="008A0AFD"/>
    <w:rsid w:val="008A6A40"/>
    <w:rsid w:val="008A7608"/>
    <w:rsid w:val="008B2564"/>
    <w:rsid w:val="008B5544"/>
    <w:rsid w:val="008B6E22"/>
    <w:rsid w:val="008C2AB4"/>
    <w:rsid w:val="008D2CD4"/>
    <w:rsid w:val="008D2FF7"/>
    <w:rsid w:val="008D68BB"/>
    <w:rsid w:val="008E28FC"/>
    <w:rsid w:val="008E586F"/>
    <w:rsid w:val="008F651A"/>
    <w:rsid w:val="008F750F"/>
    <w:rsid w:val="009036AF"/>
    <w:rsid w:val="00910330"/>
    <w:rsid w:val="00911315"/>
    <w:rsid w:val="00914CC4"/>
    <w:rsid w:val="009162F1"/>
    <w:rsid w:val="00922EA6"/>
    <w:rsid w:val="00932BE3"/>
    <w:rsid w:val="00933EDF"/>
    <w:rsid w:val="00945D28"/>
    <w:rsid w:val="00951B88"/>
    <w:rsid w:val="009531BB"/>
    <w:rsid w:val="009533A6"/>
    <w:rsid w:val="00957091"/>
    <w:rsid w:val="009579F3"/>
    <w:rsid w:val="00961D22"/>
    <w:rsid w:val="00961DE8"/>
    <w:rsid w:val="009630E1"/>
    <w:rsid w:val="0096420F"/>
    <w:rsid w:val="009654D7"/>
    <w:rsid w:val="0096620F"/>
    <w:rsid w:val="00971333"/>
    <w:rsid w:val="00971809"/>
    <w:rsid w:val="009733CE"/>
    <w:rsid w:val="0097357F"/>
    <w:rsid w:val="009744D3"/>
    <w:rsid w:val="00974CE4"/>
    <w:rsid w:val="00980219"/>
    <w:rsid w:val="00980768"/>
    <w:rsid w:val="009810D7"/>
    <w:rsid w:val="00981D51"/>
    <w:rsid w:val="009832C3"/>
    <w:rsid w:val="00986B43"/>
    <w:rsid w:val="009874F8"/>
    <w:rsid w:val="00996162"/>
    <w:rsid w:val="00996CB0"/>
    <w:rsid w:val="00997C70"/>
    <w:rsid w:val="009A1304"/>
    <w:rsid w:val="009A39CD"/>
    <w:rsid w:val="009A4B9A"/>
    <w:rsid w:val="009A5C35"/>
    <w:rsid w:val="009B06EF"/>
    <w:rsid w:val="009B18B0"/>
    <w:rsid w:val="009B1EF4"/>
    <w:rsid w:val="009B5FB0"/>
    <w:rsid w:val="009B7219"/>
    <w:rsid w:val="009C06B1"/>
    <w:rsid w:val="009C39C1"/>
    <w:rsid w:val="009D3680"/>
    <w:rsid w:val="009E0F66"/>
    <w:rsid w:val="009F15C2"/>
    <w:rsid w:val="009F169A"/>
    <w:rsid w:val="009F1E2D"/>
    <w:rsid w:val="009F3B48"/>
    <w:rsid w:val="00A02331"/>
    <w:rsid w:val="00A07892"/>
    <w:rsid w:val="00A07AFD"/>
    <w:rsid w:val="00A11BCE"/>
    <w:rsid w:val="00A125F3"/>
    <w:rsid w:val="00A14002"/>
    <w:rsid w:val="00A170B0"/>
    <w:rsid w:val="00A204B8"/>
    <w:rsid w:val="00A221B1"/>
    <w:rsid w:val="00A231AF"/>
    <w:rsid w:val="00A25BBD"/>
    <w:rsid w:val="00A307E0"/>
    <w:rsid w:val="00A313AE"/>
    <w:rsid w:val="00A328F4"/>
    <w:rsid w:val="00A33053"/>
    <w:rsid w:val="00A36D02"/>
    <w:rsid w:val="00A372BA"/>
    <w:rsid w:val="00A42C83"/>
    <w:rsid w:val="00A43FB4"/>
    <w:rsid w:val="00A45D71"/>
    <w:rsid w:val="00A4657C"/>
    <w:rsid w:val="00A46B70"/>
    <w:rsid w:val="00A47502"/>
    <w:rsid w:val="00A47EA3"/>
    <w:rsid w:val="00A51549"/>
    <w:rsid w:val="00A518F5"/>
    <w:rsid w:val="00A531E1"/>
    <w:rsid w:val="00A53707"/>
    <w:rsid w:val="00A56138"/>
    <w:rsid w:val="00A60CF4"/>
    <w:rsid w:val="00A61FC8"/>
    <w:rsid w:val="00A71BFF"/>
    <w:rsid w:val="00A7246B"/>
    <w:rsid w:val="00A77EB0"/>
    <w:rsid w:val="00A82242"/>
    <w:rsid w:val="00A83311"/>
    <w:rsid w:val="00A86500"/>
    <w:rsid w:val="00A91A03"/>
    <w:rsid w:val="00A930AD"/>
    <w:rsid w:val="00A93A58"/>
    <w:rsid w:val="00A96779"/>
    <w:rsid w:val="00AA03E0"/>
    <w:rsid w:val="00AA0CC8"/>
    <w:rsid w:val="00AA18CE"/>
    <w:rsid w:val="00AA57D0"/>
    <w:rsid w:val="00AB7E1B"/>
    <w:rsid w:val="00AC0CC3"/>
    <w:rsid w:val="00AC16D6"/>
    <w:rsid w:val="00AC1D1F"/>
    <w:rsid w:val="00AC4291"/>
    <w:rsid w:val="00AC5992"/>
    <w:rsid w:val="00AD14D9"/>
    <w:rsid w:val="00AE192F"/>
    <w:rsid w:val="00AE6202"/>
    <w:rsid w:val="00AE707B"/>
    <w:rsid w:val="00AF1E1D"/>
    <w:rsid w:val="00AF7450"/>
    <w:rsid w:val="00B00078"/>
    <w:rsid w:val="00B03344"/>
    <w:rsid w:val="00B05D17"/>
    <w:rsid w:val="00B07C2A"/>
    <w:rsid w:val="00B12DB5"/>
    <w:rsid w:val="00B1743A"/>
    <w:rsid w:val="00B21475"/>
    <w:rsid w:val="00B2246F"/>
    <w:rsid w:val="00B24658"/>
    <w:rsid w:val="00B31A10"/>
    <w:rsid w:val="00B3497F"/>
    <w:rsid w:val="00B373D4"/>
    <w:rsid w:val="00B40916"/>
    <w:rsid w:val="00B50B76"/>
    <w:rsid w:val="00B5282B"/>
    <w:rsid w:val="00B545E8"/>
    <w:rsid w:val="00B5565E"/>
    <w:rsid w:val="00B61361"/>
    <w:rsid w:val="00B62561"/>
    <w:rsid w:val="00B636CE"/>
    <w:rsid w:val="00B63A01"/>
    <w:rsid w:val="00B65515"/>
    <w:rsid w:val="00B67E4E"/>
    <w:rsid w:val="00B7101B"/>
    <w:rsid w:val="00B72210"/>
    <w:rsid w:val="00B74558"/>
    <w:rsid w:val="00B93C8F"/>
    <w:rsid w:val="00B95875"/>
    <w:rsid w:val="00BA2DF2"/>
    <w:rsid w:val="00BA36E2"/>
    <w:rsid w:val="00BB0F39"/>
    <w:rsid w:val="00BB1298"/>
    <w:rsid w:val="00BB1E2F"/>
    <w:rsid w:val="00BB3BA5"/>
    <w:rsid w:val="00BB7590"/>
    <w:rsid w:val="00BB75D0"/>
    <w:rsid w:val="00BC1E90"/>
    <w:rsid w:val="00BC59CC"/>
    <w:rsid w:val="00BC6A3A"/>
    <w:rsid w:val="00BC6B42"/>
    <w:rsid w:val="00BD541F"/>
    <w:rsid w:val="00BD63EE"/>
    <w:rsid w:val="00BD7140"/>
    <w:rsid w:val="00BE488A"/>
    <w:rsid w:val="00BE5D24"/>
    <w:rsid w:val="00BE7B34"/>
    <w:rsid w:val="00BF203E"/>
    <w:rsid w:val="00BF206B"/>
    <w:rsid w:val="00BF5396"/>
    <w:rsid w:val="00BF60BE"/>
    <w:rsid w:val="00C01B9B"/>
    <w:rsid w:val="00C020E4"/>
    <w:rsid w:val="00C03F38"/>
    <w:rsid w:val="00C04C03"/>
    <w:rsid w:val="00C06B1C"/>
    <w:rsid w:val="00C07AB5"/>
    <w:rsid w:val="00C15939"/>
    <w:rsid w:val="00C16943"/>
    <w:rsid w:val="00C225AE"/>
    <w:rsid w:val="00C24CFE"/>
    <w:rsid w:val="00C27F7E"/>
    <w:rsid w:val="00C3044A"/>
    <w:rsid w:val="00C335DA"/>
    <w:rsid w:val="00C33EEC"/>
    <w:rsid w:val="00C35576"/>
    <w:rsid w:val="00C40F55"/>
    <w:rsid w:val="00C431E7"/>
    <w:rsid w:val="00C43500"/>
    <w:rsid w:val="00C47B71"/>
    <w:rsid w:val="00C50AB3"/>
    <w:rsid w:val="00C50BBC"/>
    <w:rsid w:val="00C516F8"/>
    <w:rsid w:val="00C51A10"/>
    <w:rsid w:val="00C526D7"/>
    <w:rsid w:val="00C52964"/>
    <w:rsid w:val="00C54AA8"/>
    <w:rsid w:val="00C615E5"/>
    <w:rsid w:val="00C630B3"/>
    <w:rsid w:val="00C63D8D"/>
    <w:rsid w:val="00C64D8E"/>
    <w:rsid w:val="00C6777B"/>
    <w:rsid w:val="00C704A2"/>
    <w:rsid w:val="00C7535C"/>
    <w:rsid w:val="00C767D7"/>
    <w:rsid w:val="00C768E2"/>
    <w:rsid w:val="00C777DA"/>
    <w:rsid w:val="00C80706"/>
    <w:rsid w:val="00C87573"/>
    <w:rsid w:val="00C90279"/>
    <w:rsid w:val="00C90534"/>
    <w:rsid w:val="00C91672"/>
    <w:rsid w:val="00C9261D"/>
    <w:rsid w:val="00C93409"/>
    <w:rsid w:val="00C9505E"/>
    <w:rsid w:val="00C96966"/>
    <w:rsid w:val="00C96CC8"/>
    <w:rsid w:val="00CB152E"/>
    <w:rsid w:val="00CB28F6"/>
    <w:rsid w:val="00CB36EE"/>
    <w:rsid w:val="00CB7908"/>
    <w:rsid w:val="00CC61D3"/>
    <w:rsid w:val="00CD315A"/>
    <w:rsid w:val="00CD68CF"/>
    <w:rsid w:val="00CD77C4"/>
    <w:rsid w:val="00CD7AEC"/>
    <w:rsid w:val="00CE4148"/>
    <w:rsid w:val="00CE6C1D"/>
    <w:rsid w:val="00CE7837"/>
    <w:rsid w:val="00CF6E1D"/>
    <w:rsid w:val="00CF7BFB"/>
    <w:rsid w:val="00D0059D"/>
    <w:rsid w:val="00D02551"/>
    <w:rsid w:val="00D05C85"/>
    <w:rsid w:val="00D061FC"/>
    <w:rsid w:val="00D115A3"/>
    <w:rsid w:val="00D23311"/>
    <w:rsid w:val="00D272DF"/>
    <w:rsid w:val="00D314A1"/>
    <w:rsid w:val="00D36924"/>
    <w:rsid w:val="00D476E8"/>
    <w:rsid w:val="00D55DC2"/>
    <w:rsid w:val="00D57BD2"/>
    <w:rsid w:val="00D64D21"/>
    <w:rsid w:val="00D65EED"/>
    <w:rsid w:val="00D7101D"/>
    <w:rsid w:val="00D715AE"/>
    <w:rsid w:val="00D71F58"/>
    <w:rsid w:val="00D779C9"/>
    <w:rsid w:val="00D80C46"/>
    <w:rsid w:val="00D8761D"/>
    <w:rsid w:val="00D95285"/>
    <w:rsid w:val="00D96EDA"/>
    <w:rsid w:val="00DA09EF"/>
    <w:rsid w:val="00DA1CF4"/>
    <w:rsid w:val="00DA3775"/>
    <w:rsid w:val="00DA4085"/>
    <w:rsid w:val="00DA410E"/>
    <w:rsid w:val="00DA54F1"/>
    <w:rsid w:val="00DB02FF"/>
    <w:rsid w:val="00DB3181"/>
    <w:rsid w:val="00DC0FEF"/>
    <w:rsid w:val="00DC1021"/>
    <w:rsid w:val="00DC5370"/>
    <w:rsid w:val="00DC5E24"/>
    <w:rsid w:val="00DC6269"/>
    <w:rsid w:val="00DD0EF0"/>
    <w:rsid w:val="00DD32A4"/>
    <w:rsid w:val="00DD593E"/>
    <w:rsid w:val="00DD5FE6"/>
    <w:rsid w:val="00DE1890"/>
    <w:rsid w:val="00DE7113"/>
    <w:rsid w:val="00DF13B1"/>
    <w:rsid w:val="00DF6397"/>
    <w:rsid w:val="00E0027A"/>
    <w:rsid w:val="00E03619"/>
    <w:rsid w:val="00E17DC0"/>
    <w:rsid w:val="00E24F83"/>
    <w:rsid w:val="00E256B9"/>
    <w:rsid w:val="00E25FC9"/>
    <w:rsid w:val="00E310A1"/>
    <w:rsid w:val="00E349C5"/>
    <w:rsid w:val="00E37B43"/>
    <w:rsid w:val="00E37D46"/>
    <w:rsid w:val="00E37ECA"/>
    <w:rsid w:val="00E417CE"/>
    <w:rsid w:val="00E45A4D"/>
    <w:rsid w:val="00E504B0"/>
    <w:rsid w:val="00E50A5E"/>
    <w:rsid w:val="00E7401A"/>
    <w:rsid w:val="00E7515E"/>
    <w:rsid w:val="00E81151"/>
    <w:rsid w:val="00E81C5D"/>
    <w:rsid w:val="00E81D5A"/>
    <w:rsid w:val="00E86391"/>
    <w:rsid w:val="00E87E2B"/>
    <w:rsid w:val="00E91504"/>
    <w:rsid w:val="00E919CD"/>
    <w:rsid w:val="00E94D7B"/>
    <w:rsid w:val="00E95D2C"/>
    <w:rsid w:val="00E95F9C"/>
    <w:rsid w:val="00E96EB5"/>
    <w:rsid w:val="00EA1886"/>
    <w:rsid w:val="00EA1DED"/>
    <w:rsid w:val="00EA52B0"/>
    <w:rsid w:val="00EA6B6C"/>
    <w:rsid w:val="00EA7A86"/>
    <w:rsid w:val="00EB22A2"/>
    <w:rsid w:val="00EB2760"/>
    <w:rsid w:val="00EB278C"/>
    <w:rsid w:val="00EB67ED"/>
    <w:rsid w:val="00EC0477"/>
    <w:rsid w:val="00EC0F19"/>
    <w:rsid w:val="00EC37B3"/>
    <w:rsid w:val="00EC5A98"/>
    <w:rsid w:val="00EC7FF6"/>
    <w:rsid w:val="00ED4930"/>
    <w:rsid w:val="00ED540C"/>
    <w:rsid w:val="00EE05BC"/>
    <w:rsid w:val="00EE1D7A"/>
    <w:rsid w:val="00EE1FA9"/>
    <w:rsid w:val="00EE50BB"/>
    <w:rsid w:val="00EE661C"/>
    <w:rsid w:val="00EF034F"/>
    <w:rsid w:val="00EF2594"/>
    <w:rsid w:val="00EF410B"/>
    <w:rsid w:val="00EF4F53"/>
    <w:rsid w:val="00EF6B98"/>
    <w:rsid w:val="00F00991"/>
    <w:rsid w:val="00F013B3"/>
    <w:rsid w:val="00F11E63"/>
    <w:rsid w:val="00F20E51"/>
    <w:rsid w:val="00F36A3D"/>
    <w:rsid w:val="00F36F76"/>
    <w:rsid w:val="00F37069"/>
    <w:rsid w:val="00F43693"/>
    <w:rsid w:val="00F44D57"/>
    <w:rsid w:val="00F527C5"/>
    <w:rsid w:val="00F52E98"/>
    <w:rsid w:val="00F53DCB"/>
    <w:rsid w:val="00F54A55"/>
    <w:rsid w:val="00F5635D"/>
    <w:rsid w:val="00F65A9C"/>
    <w:rsid w:val="00F660DC"/>
    <w:rsid w:val="00F67038"/>
    <w:rsid w:val="00F70102"/>
    <w:rsid w:val="00F73602"/>
    <w:rsid w:val="00F73EE2"/>
    <w:rsid w:val="00F86F18"/>
    <w:rsid w:val="00F906DB"/>
    <w:rsid w:val="00F911E8"/>
    <w:rsid w:val="00F91649"/>
    <w:rsid w:val="00F91AD9"/>
    <w:rsid w:val="00F93F55"/>
    <w:rsid w:val="00FA018E"/>
    <w:rsid w:val="00FA3111"/>
    <w:rsid w:val="00FA4214"/>
    <w:rsid w:val="00FB24D2"/>
    <w:rsid w:val="00FB5191"/>
    <w:rsid w:val="00FB5881"/>
    <w:rsid w:val="00FB7B18"/>
    <w:rsid w:val="00FC1392"/>
    <w:rsid w:val="00FD05C6"/>
    <w:rsid w:val="00FD14C0"/>
    <w:rsid w:val="00FD1F4C"/>
    <w:rsid w:val="00FD4A90"/>
    <w:rsid w:val="00FD6970"/>
    <w:rsid w:val="00FE0E32"/>
    <w:rsid w:val="00FE57F5"/>
    <w:rsid w:val="00FE606B"/>
    <w:rsid w:val="00FF0A8F"/>
    <w:rsid w:val="00FF5774"/>
    <w:rsid w:val="00FF6963"/>
    <w:rsid w:val="00FF6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02"/>
    <w:pPr>
      <w:jc w:val="both"/>
    </w:pPr>
    <w:rPr>
      <w:rFonts w:ascii="Times New Roman" w:hAnsi="Times New Roman"/>
      <w:sz w:val="24"/>
      <w:szCs w:val="22"/>
      <w:lang w:val="mk-MK"/>
    </w:rPr>
  </w:style>
  <w:style w:type="paragraph" w:styleId="Heading1">
    <w:name w:val="heading 1"/>
    <w:basedOn w:val="Normal"/>
    <w:next w:val="Normal"/>
    <w:link w:val="Heading1Char"/>
    <w:qFormat/>
    <w:locked/>
    <w:rsid w:val="0096420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locked/>
    <w:rsid w:val="0096420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locked/>
    <w:rsid w:val="0096420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96420F"/>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A170B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A170B0"/>
    <w:pPr>
      <w:spacing w:before="240" w:after="60"/>
      <w:outlineLvl w:val="5"/>
    </w:pPr>
    <w:rPr>
      <w:rFonts w:asciiTheme="minorHAnsi" w:eastAsiaTheme="minorEastAsia" w:hAnsiTheme="minorHAnsi" w:cstheme="minorBidi"/>
      <w:b/>
      <w:bCs/>
    </w:rPr>
  </w:style>
  <w:style w:type="paragraph" w:styleId="Heading8">
    <w:name w:val="heading 8"/>
    <w:basedOn w:val="Normal"/>
    <w:next w:val="Normal"/>
    <w:link w:val="Heading8Char"/>
    <w:semiHidden/>
    <w:unhideWhenUsed/>
    <w:qFormat/>
    <w:locked/>
    <w:rsid w:val="00A170B0"/>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locked/>
    <w:rsid w:val="00A170B0"/>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A170B0"/>
    <w:rPr>
      <w:rFonts w:asciiTheme="minorHAnsi" w:eastAsiaTheme="minorEastAsia" w:hAnsiTheme="minorHAnsi" w:cstheme="minorBidi"/>
      <w:b/>
      <w:bCs/>
      <w:i/>
      <w:iCs/>
      <w:noProof/>
      <w:sz w:val="26"/>
      <w:szCs w:val="26"/>
      <w:lang w:val="mk-MK"/>
    </w:rPr>
  </w:style>
  <w:style w:type="character" w:customStyle="1" w:styleId="Heading6Char">
    <w:name w:val="Heading 6 Char"/>
    <w:basedOn w:val="DefaultParagraphFont"/>
    <w:link w:val="Heading6"/>
    <w:semiHidden/>
    <w:rsid w:val="00A170B0"/>
    <w:rPr>
      <w:rFonts w:asciiTheme="minorHAnsi" w:eastAsiaTheme="minorEastAsia" w:hAnsiTheme="minorHAnsi" w:cstheme="minorBidi"/>
      <w:b/>
      <w:bCs/>
      <w:noProof/>
      <w:sz w:val="22"/>
      <w:szCs w:val="22"/>
      <w:lang w:val="mk-MK"/>
    </w:rPr>
  </w:style>
  <w:style w:type="character" w:customStyle="1" w:styleId="Heading8Char">
    <w:name w:val="Heading 8 Char"/>
    <w:basedOn w:val="DefaultParagraphFont"/>
    <w:link w:val="Heading8"/>
    <w:semiHidden/>
    <w:rsid w:val="00A170B0"/>
    <w:rPr>
      <w:rFonts w:asciiTheme="minorHAnsi" w:eastAsiaTheme="minorEastAsia" w:hAnsiTheme="minorHAnsi" w:cstheme="minorBidi"/>
      <w:i/>
      <w:iCs/>
      <w:noProof/>
      <w:sz w:val="24"/>
      <w:szCs w:val="24"/>
      <w:lang w:val="mk-MK"/>
    </w:rPr>
  </w:style>
  <w:style w:type="character" w:customStyle="1" w:styleId="Heading9Char">
    <w:name w:val="Heading 9 Char"/>
    <w:basedOn w:val="DefaultParagraphFont"/>
    <w:link w:val="Heading9"/>
    <w:semiHidden/>
    <w:rsid w:val="00A170B0"/>
    <w:rPr>
      <w:rFonts w:asciiTheme="majorHAnsi" w:eastAsiaTheme="majorEastAsia" w:hAnsiTheme="majorHAnsi" w:cstheme="majorBidi"/>
      <w:noProof/>
      <w:sz w:val="22"/>
      <w:szCs w:val="22"/>
      <w:lang w:val="mk-MK"/>
    </w:rPr>
  </w:style>
  <w:style w:type="paragraph" w:styleId="ListParagraph">
    <w:name w:val="List Paragraph"/>
    <w:basedOn w:val="Normal"/>
    <w:uiPriority w:val="99"/>
    <w:qFormat/>
    <w:rsid w:val="004F449A"/>
    <w:pPr>
      <w:ind w:left="720"/>
      <w:contextualSpacing/>
    </w:pPr>
  </w:style>
  <w:style w:type="character" w:customStyle="1" w:styleId="Heading1Char">
    <w:name w:val="Heading 1 Char"/>
    <w:basedOn w:val="DefaultParagraphFont"/>
    <w:link w:val="Heading1"/>
    <w:rsid w:val="0017417E"/>
    <w:rPr>
      <w:rFonts w:asciiTheme="majorHAnsi" w:eastAsiaTheme="majorEastAsia" w:hAnsiTheme="majorHAnsi" w:cstheme="majorBidi"/>
      <w:b/>
      <w:bCs/>
      <w:noProof/>
      <w:kern w:val="32"/>
      <w:sz w:val="32"/>
      <w:szCs w:val="32"/>
      <w:lang w:val="mk-MK"/>
    </w:rPr>
  </w:style>
  <w:style w:type="character" w:styleId="Emphasis">
    <w:name w:val="Emphasis"/>
    <w:basedOn w:val="DefaultParagraphFont"/>
    <w:qFormat/>
    <w:locked/>
    <w:rsid w:val="00E45A4D"/>
    <w:rPr>
      <w:i/>
      <w:iCs/>
    </w:rPr>
  </w:style>
  <w:style w:type="paragraph" w:customStyle="1" w:styleId="Style2">
    <w:name w:val="Style2"/>
    <w:basedOn w:val="Footer"/>
    <w:link w:val="Style2Char"/>
    <w:rsid w:val="003B18A9"/>
  </w:style>
  <w:style w:type="paragraph" w:styleId="Footer">
    <w:name w:val="footer"/>
    <w:basedOn w:val="Normal"/>
    <w:link w:val="FooterChar"/>
    <w:uiPriority w:val="99"/>
    <w:unhideWhenUsed/>
    <w:rsid w:val="003B18A9"/>
    <w:pPr>
      <w:tabs>
        <w:tab w:val="center" w:pos="4680"/>
        <w:tab w:val="right" w:pos="9360"/>
      </w:tabs>
    </w:pPr>
  </w:style>
  <w:style w:type="character" w:customStyle="1" w:styleId="FooterChar">
    <w:name w:val="Footer Char"/>
    <w:basedOn w:val="DefaultParagraphFont"/>
    <w:link w:val="Footer"/>
    <w:uiPriority w:val="99"/>
    <w:rsid w:val="003B18A9"/>
    <w:rPr>
      <w:rFonts w:eastAsia="PMingLiU"/>
      <w:sz w:val="24"/>
      <w:szCs w:val="24"/>
      <w:lang w:val="mk-MK" w:eastAsia="zh-TW"/>
    </w:rPr>
  </w:style>
  <w:style w:type="character" w:customStyle="1" w:styleId="Style2Char">
    <w:name w:val="Style2 Char"/>
    <w:basedOn w:val="FooterChar"/>
    <w:link w:val="Style2"/>
    <w:rsid w:val="003B18A9"/>
  </w:style>
  <w:style w:type="character" w:customStyle="1" w:styleId="Heading2Char">
    <w:name w:val="Heading 2 Char"/>
    <w:basedOn w:val="DefaultParagraphFont"/>
    <w:link w:val="Heading2"/>
    <w:semiHidden/>
    <w:rsid w:val="0096420F"/>
    <w:rPr>
      <w:rFonts w:asciiTheme="majorHAnsi" w:eastAsiaTheme="majorEastAsia" w:hAnsiTheme="majorHAnsi" w:cstheme="majorBidi"/>
      <w:b/>
      <w:bCs/>
      <w:i/>
      <w:iCs/>
      <w:noProof/>
      <w:sz w:val="28"/>
      <w:szCs w:val="28"/>
      <w:lang w:val="mk-MK"/>
    </w:rPr>
  </w:style>
  <w:style w:type="character" w:customStyle="1" w:styleId="Heading3Char">
    <w:name w:val="Heading 3 Char"/>
    <w:basedOn w:val="DefaultParagraphFont"/>
    <w:link w:val="Heading3"/>
    <w:semiHidden/>
    <w:rsid w:val="0096420F"/>
    <w:rPr>
      <w:rFonts w:asciiTheme="majorHAnsi" w:eastAsiaTheme="majorEastAsia" w:hAnsiTheme="majorHAnsi" w:cstheme="majorBidi"/>
      <w:b/>
      <w:bCs/>
      <w:noProof/>
      <w:sz w:val="26"/>
      <w:szCs w:val="26"/>
      <w:lang w:val="mk-MK"/>
    </w:rPr>
  </w:style>
  <w:style w:type="character" w:customStyle="1" w:styleId="Heading4Char">
    <w:name w:val="Heading 4 Char"/>
    <w:basedOn w:val="DefaultParagraphFont"/>
    <w:link w:val="Heading4"/>
    <w:semiHidden/>
    <w:rsid w:val="0096420F"/>
    <w:rPr>
      <w:rFonts w:asciiTheme="minorHAnsi" w:eastAsiaTheme="minorEastAsia" w:hAnsiTheme="minorHAnsi" w:cstheme="minorBidi"/>
      <w:b/>
      <w:bCs/>
      <w:noProof/>
      <w:sz w:val="28"/>
      <w:szCs w:val="28"/>
      <w:lang w:val="mk-MK"/>
    </w:rPr>
  </w:style>
  <w:style w:type="character" w:styleId="Strong">
    <w:name w:val="Strong"/>
    <w:basedOn w:val="DefaultParagraphFont"/>
    <w:qFormat/>
    <w:locked/>
    <w:rsid w:val="0096420F"/>
    <w:rPr>
      <w:b/>
      <w:bCs/>
    </w:rPr>
  </w:style>
  <w:style w:type="paragraph" w:styleId="FootnoteText">
    <w:name w:val="footnote text"/>
    <w:aliases w:val="Char Char Char, Char Char Char,single space,ft"/>
    <w:basedOn w:val="Normal"/>
    <w:link w:val="FootnoteTextChar"/>
    <w:qFormat/>
    <w:rsid w:val="00A47502"/>
    <w:pPr>
      <w:ind w:firstLine="720"/>
    </w:pPr>
    <w:rPr>
      <w:rFonts w:ascii="Macedonian Tms" w:eastAsia="Times New Roman" w:hAnsi="Macedonian Tms"/>
      <w:sz w:val="20"/>
      <w:szCs w:val="20"/>
      <w:lang w:val="en-US"/>
    </w:rPr>
  </w:style>
  <w:style w:type="character" w:customStyle="1" w:styleId="FootnoteTextChar">
    <w:name w:val="Footnote Text Char"/>
    <w:aliases w:val="Char Char Char Char, Char Char Char Char,single space Char,ft Char"/>
    <w:basedOn w:val="DefaultParagraphFont"/>
    <w:link w:val="FootnoteText"/>
    <w:rsid w:val="00A47502"/>
    <w:rPr>
      <w:rFonts w:ascii="Macedonian Tms" w:eastAsia="Times New Roman" w:hAnsi="Macedonian Tms"/>
    </w:rPr>
  </w:style>
  <w:style w:type="character" w:styleId="FootnoteReference">
    <w:name w:val="footnote reference"/>
    <w:aliases w:val="ftref"/>
    <w:basedOn w:val="DefaultParagraphFont"/>
    <w:rsid w:val="00A47502"/>
    <w:rPr>
      <w:vertAlign w:val="superscript"/>
    </w:rPr>
  </w:style>
  <w:style w:type="paragraph" w:styleId="BalloonText">
    <w:name w:val="Balloon Text"/>
    <w:basedOn w:val="Normal"/>
    <w:link w:val="BalloonTextChar"/>
    <w:uiPriority w:val="99"/>
    <w:semiHidden/>
    <w:unhideWhenUsed/>
    <w:rsid w:val="00A47502"/>
    <w:rPr>
      <w:rFonts w:ascii="Tahoma" w:hAnsi="Tahoma" w:cs="Tahoma"/>
      <w:sz w:val="16"/>
      <w:szCs w:val="16"/>
    </w:rPr>
  </w:style>
  <w:style w:type="character" w:customStyle="1" w:styleId="BalloonTextChar">
    <w:name w:val="Balloon Text Char"/>
    <w:basedOn w:val="DefaultParagraphFont"/>
    <w:link w:val="BalloonText"/>
    <w:uiPriority w:val="99"/>
    <w:semiHidden/>
    <w:rsid w:val="00A47502"/>
    <w:rPr>
      <w:rFonts w:ascii="Tahoma" w:hAnsi="Tahoma" w:cs="Tahoma"/>
      <w:sz w:val="16"/>
      <w:szCs w:val="16"/>
      <w:lang w:val="mk-MK"/>
    </w:rPr>
  </w:style>
  <w:style w:type="paragraph" w:styleId="Header">
    <w:name w:val="header"/>
    <w:aliases w:val="First page header"/>
    <w:basedOn w:val="Normal"/>
    <w:link w:val="HeaderChar"/>
    <w:uiPriority w:val="99"/>
    <w:unhideWhenUsed/>
    <w:rsid w:val="00A47502"/>
    <w:pPr>
      <w:tabs>
        <w:tab w:val="center" w:pos="4680"/>
        <w:tab w:val="right" w:pos="9360"/>
      </w:tabs>
    </w:pPr>
  </w:style>
  <w:style w:type="character" w:customStyle="1" w:styleId="HeaderChar">
    <w:name w:val="Header Char"/>
    <w:aliases w:val="First page header Char"/>
    <w:basedOn w:val="DefaultParagraphFont"/>
    <w:link w:val="Header"/>
    <w:uiPriority w:val="99"/>
    <w:rsid w:val="00A47502"/>
    <w:rPr>
      <w:rFonts w:ascii="Times New Roman" w:hAnsi="Times New Roman"/>
      <w:sz w:val="24"/>
      <w:szCs w:val="22"/>
      <w:lang w:val="mk-MK"/>
    </w:rPr>
  </w:style>
  <w:style w:type="paragraph" w:styleId="NoSpacing">
    <w:name w:val="No Spacing"/>
    <w:link w:val="NoSpacingChar"/>
    <w:uiPriority w:val="1"/>
    <w:qFormat/>
    <w:rsid w:val="00A4750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47502"/>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4;&#1091;&#1096;&#1082;&#1086;\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4;&#1091;&#1096;&#1082;&#1086;\Desktop\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4;&#1091;&#1096;&#1082;&#1086;\Desktop\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4;&#1091;&#1096;&#1082;&#1086;\Desktop\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4;&#1091;&#1096;&#1082;&#1086;\Desktop\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44;&#1091;&#1096;&#1082;&#1086;\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mk-MK"/>
          </a:pPr>
          <a:endParaRPr lang="en-US"/>
        </a:p>
      </c:txPr>
    </c:title>
    <c:plotArea>
      <c:layout/>
      <c:barChart>
        <c:barDir val="col"/>
        <c:grouping val="clustered"/>
        <c:ser>
          <c:idx val="0"/>
          <c:order val="0"/>
          <c:tx>
            <c:strRef>
              <c:f>Sheet1!$D$2</c:f>
              <c:strCache>
                <c:ptCount val="1"/>
                <c:pt idx="0">
                  <c:v>Во проценти население наспрема вкупното (%)</c:v>
                </c:pt>
              </c:strCache>
            </c:strRef>
          </c:tx>
          <c:cat>
            <c:strRef>
              <c:f>Sheet1!$C$3:$C$11</c:f>
              <c:strCache>
                <c:ptCount val="9"/>
                <c:pt idx="0">
                  <c:v>Скопје</c:v>
                </c:pt>
                <c:pt idx="1">
                  <c:v>Битола</c:v>
                </c:pt>
                <c:pt idx="2">
                  <c:v>Тетово</c:v>
                </c:pt>
                <c:pt idx="3">
                  <c:v>Струга</c:v>
                </c:pt>
                <c:pt idx="4">
                  <c:v>Охрид</c:v>
                </c:pt>
                <c:pt idx="5">
                  <c:v>Гевгелија </c:v>
                </c:pt>
                <c:pt idx="6">
                  <c:v>Ресен </c:v>
                </c:pt>
                <c:pt idx="7">
                  <c:v>Крушево</c:v>
                </c:pt>
                <c:pt idx="8">
                  <c:v>Дојран</c:v>
                </c:pt>
              </c:strCache>
            </c:strRef>
          </c:cat>
          <c:val>
            <c:numRef>
              <c:f>Sheet1!$D$3:$D$11</c:f>
              <c:numCache>
                <c:formatCode>General</c:formatCode>
                <c:ptCount val="9"/>
                <c:pt idx="0">
                  <c:v>25.86</c:v>
                </c:pt>
                <c:pt idx="1">
                  <c:v>4.55</c:v>
                </c:pt>
                <c:pt idx="2">
                  <c:v>4.37</c:v>
                </c:pt>
                <c:pt idx="3">
                  <c:v>3.14</c:v>
                </c:pt>
                <c:pt idx="4">
                  <c:v>2.66</c:v>
                </c:pt>
                <c:pt idx="5">
                  <c:v>1.1200000000000001</c:v>
                </c:pt>
                <c:pt idx="6">
                  <c:v>0.78</c:v>
                </c:pt>
                <c:pt idx="7">
                  <c:v>0.47000000000000008</c:v>
                </c:pt>
                <c:pt idx="8">
                  <c:v>0.16000000000000011</c:v>
                </c:pt>
              </c:numCache>
            </c:numRef>
          </c:val>
        </c:ser>
        <c:axId val="115772416"/>
        <c:axId val="117318784"/>
      </c:barChart>
      <c:catAx>
        <c:axId val="115772416"/>
        <c:scaling>
          <c:orientation val="minMax"/>
        </c:scaling>
        <c:axPos val="b"/>
        <c:tickLblPos val="nextTo"/>
        <c:txPr>
          <a:bodyPr/>
          <a:lstStyle/>
          <a:p>
            <a:pPr>
              <a:defRPr lang="mk-MK"/>
            </a:pPr>
            <a:endParaRPr lang="en-US"/>
          </a:p>
        </c:txPr>
        <c:crossAx val="117318784"/>
        <c:crosses val="autoZero"/>
        <c:auto val="1"/>
        <c:lblAlgn val="ctr"/>
        <c:lblOffset val="100"/>
      </c:catAx>
      <c:valAx>
        <c:axId val="117318784"/>
        <c:scaling>
          <c:orientation val="minMax"/>
        </c:scaling>
        <c:axPos val="l"/>
        <c:majorGridlines/>
        <c:numFmt formatCode="General" sourceLinked="1"/>
        <c:tickLblPos val="nextTo"/>
        <c:txPr>
          <a:bodyPr/>
          <a:lstStyle/>
          <a:p>
            <a:pPr>
              <a:defRPr lang="mk-MK"/>
            </a:pPr>
            <a:endParaRPr lang="en-US"/>
          </a:p>
        </c:txPr>
        <c:crossAx val="115772416"/>
        <c:crosses val="autoZero"/>
        <c:crossBetween val="between"/>
      </c:valAx>
    </c:plotArea>
    <c:legend>
      <c:legendPos val="r"/>
      <c:txPr>
        <a:bodyPr/>
        <a:lstStyle/>
        <a:p>
          <a:pPr>
            <a:defRPr lang="mk-MK"/>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Sheet1!$P$129</c:f>
              <c:strCache>
                <c:ptCount val="1"/>
                <c:pt idx="0">
                  <c:v>мажи</c:v>
                </c:pt>
              </c:strCache>
            </c:strRef>
          </c:tx>
          <c:cat>
            <c:strRef>
              <c:f>Sheet1!$O$130:$O$138</c:f>
              <c:strCache>
                <c:ptCount val="9"/>
                <c:pt idx="0">
                  <c:v>Скопје</c:v>
                </c:pt>
                <c:pt idx="1">
                  <c:v>Битола</c:v>
                </c:pt>
                <c:pt idx="2">
                  <c:v>Тетово</c:v>
                </c:pt>
                <c:pt idx="3">
                  <c:v>Струга</c:v>
                </c:pt>
                <c:pt idx="4">
                  <c:v>Охрид</c:v>
                </c:pt>
                <c:pt idx="5">
                  <c:v>Гевгелија </c:v>
                </c:pt>
                <c:pt idx="6">
                  <c:v>Ресен </c:v>
                </c:pt>
                <c:pt idx="7">
                  <c:v>Крушево</c:v>
                </c:pt>
                <c:pt idx="8">
                  <c:v>Дојран</c:v>
                </c:pt>
              </c:strCache>
            </c:strRef>
          </c:cat>
          <c:val>
            <c:numRef>
              <c:f>Sheet1!$P$130:$P$138</c:f>
              <c:numCache>
                <c:formatCode>General</c:formatCode>
                <c:ptCount val="9"/>
                <c:pt idx="0">
                  <c:v>25.291305124639791</c:v>
                </c:pt>
                <c:pt idx="1">
                  <c:v>4.4668727812259714</c:v>
                </c:pt>
                <c:pt idx="2">
                  <c:v>4.3762768874630114</c:v>
                </c:pt>
                <c:pt idx="3">
                  <c:v>3.1146343926482354</c:v>
                </c:pt>
                <c:pt idx="4">
                  <c:v>2.6180562568456702</c:v>
                </c:pt>
                <c:pt idx="5">
                  <c:v>1.1054058462996479</c:v>
                </c:pt>
                <c:pt idx="6">
                  <c:v>0.79001949802300964</c:v>
                </c:pt>
                <c:pt idx="7">
                  <c:v>0.47181720020818602</c:v>
                </c:pt>
                <c:pt idx="8">
                  <c:v>0.16167434417506274</c:v>
                </c:pt>
              </c:numCache>
            </c:numRef>
          </c:val>
          <c:bubble3D val="1"/>
        </c:ser>
        <c:ser>
          <c:idx val="1"/>
          <c:order val="1"/>
          <c:tx>
            <c:strRef>
              <c:f>Sheet1!$Q$129</c:f>
              <c:strCache>
                <c:ptCount val="1"/>
                <c:pt idx="0">
                  <c:v>жени</c:v>
                </c:pt>
              </c:strCache>
            </c:strRef>
          </c:tx>
          <c:cat>
            <c:strRef>
              <c:f>Sheet1!$O$130:$O$138</c:f>
              <c:strCache>
                <c:ptCount val="9"/>
                <c:pt idx="0">
                  <c:v>Скопје</c:v>
                </c:pt>
                <c:pt idx="1">
                  <c:v>Битола</c:v>
                </c:pt>
                <c:pt idx="2">
                  <c:v>Тетово</c:v>
                </c:pt>
                <c:pt idx="3">
                  <c:v>Струга</c:v>
                </c:pt>
                <c:pt idx="4">
                  <c:v>Охрид</c:v>
                </c:pt>
                <c:pt idx="5">
                  <c:v>Гевгелија </c:v>
                </c:pt>
                <c:pt idx="6">
                  <c:v>Ресен </c:v>
                </c:pt>
                <c:pt idx="7">
                  <c:v>Крушево</c:v>
                </c:pt>
                <c:pt idx="8">
                  <c:v>Дојран</c:v>
                </c:pt>
              </c:strCache>
            </c:strRef>
          </c:cat>
          <c:val>
            <c:numRef>
              <c:f>Sheet1!$Q$130:$Q$138</c:f>
              <c:numCache>
                <c:formatCode>General</c:formatCode>
                <c:ptCount val="9"/>
                <c:pt idx="0">
                  <c:v>26.424466130032886</c:v>
                </c:pt>
                <c:pt idx="1">
                  <c:v>4.6415374830757461</c:v>
                </c:pt>
                <c:pt idx="2">
                  <c:v>4.356507692487777</c:v>
                </c:pt>
                <c:pt idx="3">
                  <c:v>3.1582510369153582</c:v>
                </c:pt>
                <c:pt idx="4">
                  <c:v>2.7114897635091633</c:v>
                </c:pt>
                <c:pt idx="5">
                  <c:v>1.1283160806745509</c:v>
                </c:pt>
                <c:pt idx="6">
                  <c:v>0.78807518075297756</c:v>
                </c:pt>
                <c:pt idx="7">
                  <c:v>0.46139319284089442</c:v>
                </c:pt>
                <c:pt idx="8">
                  <c:v>0.1631946747616948</c:v>
                </c:pt>
              </c:numCache>
            </c:numRef>
          </c:val>
          <c:bubble3D val="1"/>
        </c:ser>
        <c:axId val="117617024"/>
        <c:axId val="117619328"/>
      </c:barChart>
      <c:catAx>
        <c:axId val="117617024"/>
        <c:scaling>
          <c:orientation val="minMax"/>
        </c:scaling>
        <c:axPos val="b"/>
        <c:numFmt formatCode="General" sourceLinked="1"/>
        <c:tickLblPos val="nextTo"/>
        <c:txPr>
          <a:bodyPr/>
          <a:lstStyle/>
          <a:p>
            <a:pPr>
              <a:defRPr lang="mk-MK"/>
            </a:pPr>
            <a:endParaRPr lang="en-US"/>
          </a:p>
        </c:txPr>
        <c:crossAx val="117619328"/>
        <c:crosses val="autoZero"/>
        <c:auto val="1"/>
        <c:lblAlgn val="ctr"/>
        <c:lblOffset val="100"/>
      </c:catAx>
      <c:valAx>
        <c:axId val="117619328"/>
        <c:scaling>
          <c:orientation val="minMax"/>
        </c:scaling>
        <c:axPos val="l"/>
        <c:numFmt formatCode="General" sourceLinked="1"/>
        <c:tickLblPos val="nextTo"/>
        <c:txPr>
          <a:bodyPr/>
          <a:lstStyle/>
          <a:p>
            <a:pPr>
              <a:defRPr lang="mk-MK"/>
            </a:pPr>
            <a:endParaRPr lang="en-US"/>
          </a:p>
        </c:txPr>
        <c:crossAx val="117617024"/>
        <c:crosses val="autoZero"/>
        <c:crossBetween val="between"/>
      </c:valAx>
    </c:plotArea>
    <c:legend>
      <c:legendPos val="r"/>
      <c:txPr>
        <a:bodyPr/>
        <a:lstStyle/>
        <a:p>
          <a:pPr rtl="0">
            <a:defRPr lang="mk-MK"/>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mk-MK"/>
            </a:pPr>
            <a:r>
              <a:rPr lang="mk-MK"/>
              <a:t>Популациона пирамида на Општина Дојран  на 30.06.2010</a:t>
            </a:r>
            <a:endParaRPr lang="en-US"/>
          </a:p>
        </c:rich>
      </c:tx>
    </c:title>
    <c:plotArea>
      <c:layout/>
      <c:barChart>
        <c:barDir val="bar"/>
        <c:grouping val="stacked"/>
        <c:ser>
          <c:idx val="0"/>
          <c:order val="0"/>
          <c:tx>
            <c:strRef>
              <c:f>Sheet1!$U$144</c:f>
              <c:strCache>
                <c:ptCount val="1"/>
                <c:pt idx="0">
                  <c:v>Мажи</c:v>
                </c:pt>
              </c:strCache>
            </c:strRef>
          </c:tx>
          <c:spPr>
            <a:ln>
              <a:solidFill>
                <a:schemeClr val="tx1"/>
              </a:solidFill>
            </a:ln>
          </c:spPr>
          <c:cat>
            <c:strRef>
              <c:f>Sheet1!$T$145:$T$164</c:f>
              <c:strCache>
                <c:ptCount val="20"/>
                <c:pt idx="0">
                  <c:v>0</c:v>
                </c:pt>
                <c:pt idx="1">
                  <c:v>1-4</c:v>
                </c:pt>
                <c:pt idx="2">
                  <c:v>5-9</c:v>
                </c:pt>
                <c:pt idx="3">
                  <c:v>10-14</c:v>
                </c:pt>
                <c:pt idx="4">
                  <c:v>15 - 19</c:v>
                </c:pt>
                <c:pt idx="5">
                  <c:v>20 - 24</c:v>
                </c:pt>
                <c:pt idx="6">
                  <c:v>25 - 29</c:v>
                </c:pt>
                <c:pt idx="7">
                  <c:v>30 - 34</c:v>
                </c:pt>
                <c:pt idx="8">
                  <c:v>35 - 39</c:v>
                </c:pt>
                <c:pt idx="9">
                  <c:v>40 - 44</c:v>
                </c:pt>
                <c:pt idx="10">
                  <c:v>45 - 49</c:v>
                </c:pt>
                <c:pt idx="11">
                  <c:v>50 - 54</c:v>
                </c:pt>
                <c:pt idx="12">
                  <c:v>55 -59</c:v>
                </c:pt>
                <c:pt idx="13">
                  <c:v>60 - 64</c:v>
                </c:pt>
                <c:pt idx="14">
                  <c:v>65 - 69</c:v>
                </c:pt>
                <c:pt idx="15">
                  <c:v>70 - 74</c:v>
                </c:pt>
                <c:pt idx="16">
                  <c:v>75 - 79</c:v>
                </c:pt>
                <c:pt idx="17">
                  <c:v>80 - 84</c:v>
                </c:pt>
                <c:pt idx="18">
                  <c:v>85 и повеќе</c:v>
                </c:pt>
                <c:pt idx="19">
                  <c:v>Hепозната возраст</c:v>
                </c:pt>
              </c:strCache>
            </c:strRef>
          </c:cat>
          <c:val>
            <c:numRef>
              <c:f>Sheet1!$U$145:$U$164</c:f>
              <c:numCache>
                <c:formatCode>General</c:formatCode>
                <c:ptCount val="20"/>
                <c:pt idx="0">
                  <c:v>-15</c:v>
                </c:pt>
                <c:pt idx="1">
                  <c:v>-64</c:v>
                </c:pt>
                <c:pt idx="2">
                  <c:v>-77</c:v>
                </c:pt>
                <c:pt idx="3">
                  <c:v>-100</c:v>
                </c:pt>
                <c:pt idx="4">
                  <c:v>-104</c:v>
                </c:pt>
                <c:pt idx="5">
                  <c:v>-152</c:v>
                </c:pt>
                <c:pt idx="6">
                  <c:v>-126</c:v>
                </c:pt>
                <c:pt idx="7">
                  <c:v>-128</c:v>
                </c:pt>
                <c:pt idx="8">
                  <c:v>-117</c:v>
                </c:pt>
                <c:pt idx="9">
                  <c:v>-121</c:v>
                </c:pt>
                <c:pt idx="10">
                  <c:v>-158</c:v>
                </c:pt>
                <c:pt idx="11">
                  <c:v>-131</c:v>
                </c:pt>
                <c:pt idx="12">
                  <c:v>-103</c:v>
                </c:pt>
                <c:pt idx="13">
                  <c:v>-71</c:v>
                </c:pt>
                <c:pt idx="14">
                  <c:v>-62</c:v>
                </c:pt>
                <c:pt idx="15">
                  <c:v>-59</c:v>
                </c:pt>
                <c:pt idx="16">
                  <c:v>-45</c:v>
                </c:pt>
                <c:pt idx="17">
                  <c:v>-23</c:v>
                </c:pt>
                <c:pt idx="18">
                  <c:v>-9</c:v>
                </c:pt>
                <c:pt idx="19">
                  <c:v>0</c:v>
                </c:pt>
              </c:numCache>
            </c:numRef>
          </c:val>
        </c:ser>
        <c:ser>
          <c:idx val="1"/>
          <c:order val="1"/>
          <c:tx>
            <c:strRef>
              <c:f>Sheet1!$V$144</c:f>
              <c:strCache>
                <c:ptCount val="1"/>
                <c:pt idx="0">
                  <c:v>Жени</c:v>
                </c:pt>
              </c:strCache>
            </c:strRef>
          </c:tx>
          <c:spPr>
            <a:ln>
              <a:solidFill>
                <a:schemeClr val="tx1"/>
              </a:solidFill>
            </a:ln>
          </c:spPr>
          <c:cat>
            <c:strRef>
              <c:f>Sheet1!$T$145:$T$164</c:f>
              <c:strCache>
                <c:ptCount val="20"/>
                <c:pt idx="0">
                  <c:v>0</c:v>
                </c:pt>
                <c:pt idx="1">
                  <c:v>1-4</c:v>
                </c:pt>
                <c:pt idx="2">
                  <c:v>5-9</c:v>
                </c:pt>
                <c:pt idx="3">
                  <c:v>10-14</c:v>
                </c:pt>
                <c:pt idx="4">
                  <c:v>15 - 19</c:v>
                </c:pt>
                <c:pt idx="5">
                  <c:v>20 - 24</c:v>
                </c:pt>
                <c:pt idx="6">
                  <c:v>25 - 29</c:v>
                </c:pt>
                <c:pt idx="7">
                  <c:v>30 - 34</c:v>
                </c:pt>
                <c:pt idx="8">
                  <c:v>35 - 39</c:v>
                </c:pt>
                <c:pt idx="9">
                  <c:v>40 - 44</c:v>
                </c:pt>
                <c:pt idx="10">
                  <c:v>45 - 49</c:v>
                </c:pt>
                <c:pt idx="11">
                  <c:v>50 - 54</c:v>
                </c:pt>
                <c:pt idx="12">
                  <c:v>55 -59</c:v>
                </c:pt>
                <c:pt idx="13">
                  <c:v>60 - 64</c:v>
                </c:pt>
                <c:pt idx="14">
                  <c:v>65 - 69</c:v>
                </c:pt>
                <c:pt idx="15">
                  <c:v>70 - 74</c:v>
                </c:pt>
                <c:pt idx="16">
                  <c:v>75 - 79</c:v>
                </c:pt>
                <c:pt idx="17">
                  <c:v>80 - 84</c:v>
                </c:pt>
                <c:pt idx="18">
                  <c:v>85 и повеќе</c:v>
                </c:pt>
                <c:pt idx="19">
                  <c:v>Hепозната возраст</c:v>
                </c:pt>
              </c:strCache>
            </c:strRef>
          </c:cat>
          <c:val>
            <c:numRef>
              <c:f>Sheet1!$V$145:$V$164</c:f>
              <c:numCache>
                <c:formatCode>General</c:formatCode>
                <c:ptCount val="20"/>
                <c:pt idx="0">
                  <c:v>19</c:v>
                </c:pt>
                <c:pt idx="1">
                  <c:v>68</c:v>
                </c:pt>
                <c:pt idx="2">
                  <c:v>76</c:v>
                </c:pt>
                <c:pt idx="3">
                  <c:v>92</c:v>
                </c:pt>
                <c:pt idx="4">
                  <c:v>133</c:v>
                </c:pt>
                <c:pt idx="5">
                  <c:v>145</c:v>
                </c:pt>
                <c:pt idx="6">
                  <c:v>115</c:v>
                </c:pt>
                <c:pt idx="7">
                  <c:v>96</c:v>
                </c:pt>
                <c:pt idx="8">
                  <c:v>116</c:v>
                </c:pt>
                <c:pt idx="9">
                  <c:v>128</c:v>
                </c:pt>
                <c:pt idx="10">
                  <c:v>128</c:v>
                </c:pt>
                <c:pt idx="11">
                  <c:v>104</c:v>
                </c:pt>
                <c:pt idx="12">
                  <c:v>114</c:v>
                </c:pt>
                <c:pt idx="13">
                  <c:v>75</c:v>
                </c:pt>
                <c:pt idx="14">
                  <c:v>76</c:v>
                </c:pt>
                <c:pt idx="15">
                  <c:v>80</c:v>
                </c:pt>
                <c:pt idx="16">
                  <c:v>60</c:v>
                </c:pt>
                <c:pt idx="17">
                  <c:v>29</c:v>
                </c:pt>
                <c:pt idx="18">
                  <c:v>19</c:v>
                </c:pt>
              </c:numCache>
            </c:numRef>
          </c:val>
        </c:ser>
        <c:gapWidth val="0"/>
        <c:overlap val="100"/>
        <c:axId val="141664256"/>
        <c:axId val="141666176"/>
      </c:barChart>
      <c:catAx>
        <c:axId val="141664256"/>
        <c:scaling>
          <c:orientation val="minMax"/>
        </c:scaling>
        <c:axPos val="l"/>
        <c:majorGridlines/>
        <c:tickLblPos val="low"/>
        <c:txPr>
          <a:bodyPr/>
          <a:lstStyle/>
          <a:p>
            <a:pPr>
              <a:defRPr lang="mk-MK"/>
            </a:pPr>
            <a:endParaRPr lang="en-US"/>
          </a:p>
        </c:txPr>
        <c:crossAx val="141666176"/>
        <c:crossesAt val="0"/>
        <c:auto val="1"/>
        <c:lblAlgn val="ctr"/>
        <c:lblOffset val="100"/>
        <c:tickLblSkip val="1"/>
      </c:catAx>
      <c:valAx>
        <c:axId val="141666176"/>
        <c:scaling>
          <c:orientation val="minMax"/>
        </c:scaling>
        <c:axPos val="b"/>
        <c:numFmt formatCode="0;0" sourceLinked="0"/>
        <c:tickLblPos val="nextTo"/>
        <c:txPr>
          <a:bodyPr/>
          <a:lstStyle/>
          <a:p>
            <a:pPr>
              <a:defRPr lang="mk-MK"/>
            </a:pPr>
            <a:endParaRPr lang="en-US"/>
          </a:p>
        </c:txPr>
        <c:crossAx val="141664256"/>
        <c:crosses val="autoZero"/>
        <c:crossBetween val="between"/>
        <c:majorUnit val="500"/>
      </c:valAx>
    </c:plotArea>
    <c:legend>
      <c:legendPos val="t"/>
      <c:txPr>
        <a:bodyPr/>
        <a:lstStyle/>
        <a:p>
          <a:pPr>
            <a:defRPr lang="mk-MK"/>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mk-MK"/>
          </a:pPr>
          <a:endParaRPr lang="en-US"/>
        </a:p>
      </c:txPr>
    </c:title>
    <c:plotArea>
      <c:layout/>
      <c:barChart>
        <c:barDir val="col"/>
        <c:grouping val="clustered"/>
        <c:ser>
          <c:idx val="0"/>
          <c:order val="0"/>
          <c:tx>
            <c:v>Угостителски објекти(%) </c:v>
          </c:tx>
          <c:spPr>
            <a:solidFill>
              <a:schemeClr val="accent2"/>
            </a:solidFill>
          </c:spPr>
          <c:cat>
            <c:strRef>
              <c:f>Sheet1!$K$2:$K$10</c:f>
              <c:strCache>
                <c:ptCount val="9"/>
                <c:pt idx="0">
                  <c:v>Скопје</c:v>
                </c:pt>
                <c:pt idx="1">
                  <c:v>Тетово</c:v>
                </c:pt>
                <c:pt idx="2">
                  <c:v>Битола</c:v>
                </c:pt>
                <c:pt idx="3">
                  <c:v>Струга</c:v>
                </c:pt>
                <c:pt idx="4">
                  <c:v>Охрид</c:v>
                </c:pt>
                <c:pt idx="5">
                  <c:v>Гевгелија </c:v>
                </c:pt>
                <c:pt idx="6">
                  <c:v>Ресен</c:v>
                </c:pt>
                <c:pt idx="7">
                  <c:v>Дојран</c:v>
                </c:pt>
                <c:pt idx="8">
                  <c:v>Крушево</c:v>
                </c:pt>
              </c:strCache>
            </c:strRef>
          </c:cat>
          <c:val>
            <c:numRef>
              <c:f>Sheet1!$L$2:$L$10</c:f>
              <c:numCache>
                <c:formatCode>@</c:formatCode>
                <c:ptCount val="9"/>
                <c:pt idx="0" formatCode="General">
                  <c:v>19.559999999999999</c:v>
                </c:pt>
                <c:pt idx="1">
                  <c:v>8.69</c:v>
                </c:pt>
                <c:pt idx="2" formatCode="General">
                  <c:v>5.4</c:v>
                </c:pt>
                <c:pt idx="3" formatCode="General">
                  <c:v>4.3199999999999985</c:v>
                </c:pt>
                <c:pt idx="4" formatCode="General">
                  <c:v>3.9699999999999998</c:v>
                </c:pt>
                <c:pt idx="5" formatCode="General">
                  <c:v>2.0299999999999998</c:v>
                </c:pt>
                <c:pt idx="6" formatCode="General">
                  <c:v>1.03</c:v>
                </c:pt>
                <c:pt idx="7" formatCode="General">
                  <c:v>0.49000000000000032</c:v>
                </c:pt>
                <c:pt idx="8" formatCode="General">
                  <c:v>0.32000000000000162</c:v>
                </c:pt>
              </c:numCache>
            </c:numRef>
          </c:val>
        </c:ser>
        <c:axId val="153857408"/>
        <c:axId val="154589824"/>
      </c:barChart>
      <c:catAx>
        <c:axId val="153857408"/>
        <c:scaling>
          <c:orientation val="minMax"/>
        </c:scaling>
        <c:axPos val="b"/>
        <c:numFmt formatCode="General" sourceLinked="1"/>
        <c:tickLblPos val="nextTo"/>
        <c:txPr>
          <a:bodyPr/>
          <a:lstStyle/>
          <a:p>
            <a:pPr>
              <a:defRPr lang="mk-MK"/>
            </a:pPr>
            <a:endParaRPr lang="en-US"/>
          </a:p>
        </c:txPr>
        <c:crossAx val="154589824"/>
        <c:crosses val="autoZero"/>
        <c:auto val="1"/>
        <c:lblAlgn val="ctr"/>
        <c:lblOffset val="100"/>
      </c:catAx>
      <c:valAx>
        <c:axId val="154589824"/>
        <c:scaling>
          <c:orientation val="minMax"/>
        </c:scaling>
        <c:axPos val="l"/>
        <c:majorGridlines/>
        <c:numFmt formatCode="General" sourceLinked="1"/>
        <c:tickLblPos val="nextTo"/>
        <c:txPr>
          <a:bodyPr/>
          <a:lstStyle/>
          <a:p>
            <a:pPr>
              <a:defRPr lang="mk-MK"/>
            </a:pPr>
            <a:endParaRPr lang="en-US"/>
          </a:p>
        </c:txPr>
        <c:crossAx val="15385740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mk-MK"/>
          </a:pPr>
          <a:endParaRPr lang="en-US"/>
        </a:p>
      </c:txPr>
    </c:title>
    <c:plotArea>
      <c:layout/>
      <c:barChart>
        <c:barDir val="col"/>
        <c:grouping val="clustered"/>
        <c:ser>
          <c:idx val="0"/>
          <c:order val="0"/>
          <c:tx>
            <c:v>број на вработени во угостителството %</c:v>
          </c:tx>
          <c:cat>
            <c:strRef>
              <c:f>Sheet1!$K$13:$K$21</c:f>
              <c:strCache>
                <c:ptCount val="9"/>
                <c:pt idx="0">
                  <c:v>Скопје</c:v>
                </c:pt>
                <c:pt idx="1">
                  <c:v>Тетово</c:v>
                </c:pt>
                <c:pt idx="2">
                  <c:v>Битола</c:v>
                </c:pt>
                <c:pt idx="3">
                  <c:v>Струга</c:v>
                </c:pt>
                <c:pt idx="4">
                  <c:v>Охрид</c:v>
                </c:pt>
                <c:pt idx="5">
                  <c:v>Гевгелија </c:v>
                </c:pt>
                <c:pt idx="6">
                  <c:v>Ресен</c:v>
                </c:pt>
                <c:pt idx="7">
                  <c:v>Дојран</c:v>
                </c:pt>
                <c:pt idx="8">
                  <c:v>Крушево</c:v>
                </c:pt>
              </c:strCache>
            </c:strRef>
          </c:cat>
          <c:val>
            <c:numRef>
              <c:f>Sheet1!$L$13:$L$21</c:f>
              <c:numCache>
                <c:formatCode>General</c:formatCode>
                <c:ptCount val="9"/>
                <c:pt idx="0">
                  <c:v>27.91</c:v>
                </c:pt>
                <c:pt idx="1">
                  <c:v>6.94</c:v>
                </c:pt>
                <c:pt idx="2">
                  <c:v>6.54</c:v>
                </c:pt>
                <c:pt idx="3">
                  <c:v>3.46</c:v>
                </c:pt>
                <c:pt idx="4">
                  <c:v>5.59</c:v>
                </c:pt>
                <c:pt idx="5">
                  <c:v>2.3199999999999967</c:v>
                </c:pt>
                <c:pt idx="6">
                  <c:v>0.92</c:v>
                </c:pt>
                <c:pt idx="7">
                  <c:v>0.43000000000000038</c:v>
                </c:pt>
                <c:pt idx="8">
                  <c:v>0.2</c:v>
                </c:pt>
              </c:numCache>
            </c:numRef>
          </c:val>
        </c:ser>
        <c:axId val="92056192"/>
        <c:axId val="92057984"/>
      </c:barChart>
      <c:catAx>
        <c:axId val="92056192"/>
        <c:scaling>
          <c:orientation val="minMax"/>
        </c:scaling>
        <c:axPos val="b"/>
        <c:tickLblPos val="nextTo"/>
        <c:txPr>
          <a:bodyPr/>
          <a:lstStyle/>
          <a:p>
            <a:pPr>
              <a:defRPr lang="mk-MK"/>
            </a:pPr>
            <a:endParaRPr lang="en-US"/>
          </a:p>
        </c:txPr>
        <c:crossAx val="92057984"/>
        <c:crosses val="autoZero"/>
        <c:auto val="1"/>
        <c:lblAlgn val="ctr"/>
        <c:lblOffset val="100"/>
      </c:catAx>
      <c:valAx>
        <c:axId val="92057984"/>
        <c:scaling>
          <c:orientation val="minMax"/>
        </c:scaling>
        <c:axPos val="l"/>
        <c:majorGridlines/>
        <c:numFmt formatCode="General" sourceLinked="1"/>
        <c:tickLblPos val="nextTo"/>
        <c:txPr>
          <a:bodyPr/>
          <a:lstStyle/>
          <a:p>
            <a:pPr>
              <a:defRPr lang="mk-MK"/>
            </a:pPr>
            <a:endParaRPr lang="en-US"/>
          </a:p>
        </c:txPr>
        <c:crossAx val="92056192"/>
        <c:crosses val="autoZero"/>
        <c:crossBetween val="between"/>
      </c:valAx>
    </c:plotArea>
    <c:legend>
      <c:legendPos val="r"/>
      <c:txPr>
        <a:bodyPr/>
        <a:lstStyle/>
        <a:p>
          <a:pPr>
            <a:defRPr lang="mk-MK"/>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Sheet1!$M$22</c:f>
              <c:strCache>
                <c:ptCount val="1"/>
                <c:pt idx="0">
                  <c:v>угостителски објекти (%)</c:v>
                </c:pt>
              </c:strCache>
            </c:strRef>
          </c:tx>
          <c:cat>
            <c:strRef>
              <c:f>Sheet1!$L$23:$L$31</c:f>
              <c:strCache>
                <c:ptCount val="9"/>
                <c:pt idx="0">
                  <c:v>Охрид</c:v>
                </c:pt>
                <c:pt idx="1">
                  <c:v>Скопје</c:v>
                </c:pt>
                <c:pt idx="2">
                  <c:v>Ресен </c:v>
                </c:pt>
                <c:pt idx="3">
                  <c:v>Дојран</c:v>
                </c:pt>
                <c:pt idx="4">
                  <c:v>Струга</c:v>
                </c:pt>
                <c:pt idx="5">
                  <c:v>Тетово</c:v>
                </c:pt>
                <c:pt idx="6">
                  <c:v>Битола</c:v>
                </c:pt>
                <c:pt idx="7">
                  <c:v>Крушево</c:v>
                </c:pt>
                <c:pt idx="8">
                  <c:v>Гевгелија </c:v>
                </c:pt>
              </c:strCache>
            </c:strRef>
          </c:cat>
          <c:val>
            <c:numRef>
              <c:f>Sheet1!$M$23:$M$31</c:f>
              <c:numCache>
                <c:formatCode>General</c:formatCode>
                <c:ptCount val="9"/>
                <c:pt idx="0">
                  <c:v>14.81</c:v>
                </c:pt>
                <c:pt idx="1">
                  <c:v>14.2</c:v>
                </c:pt>
                <c:pt idx="2">
                  <c:v>12.55</c:v>
                </c:pt>
                <c:pt idx="3">
                  <c:v>10.08</c:v>
                </c:pt>
                <c:pt idx="4">
                  <c:v>4.9400000000000004</c:v>
                </c:pt>
                <c:pt idx="5">
                  <c:v>3.9099999999999997</c:v>
                </c:pt>
                <c:pt idx="6">
                  <c:v>3.29</c:v>
                </c:pt>
                <c:pt idx="7">
                  <c:v>2.4699999999999998</c:v>
                </c:pt>
                <c:pt idx="8">
                  <c:v>1.6500000000000001</c:v>
                </c:pt>
              </c:numCache>
            </c:numRef>
          </c:val>
        </c:ser>
        <c:ser>
          <c:idx val="1"/>
          <c:order val="1"/>
          <c:tx>
            <c:strRef>
              <c:f>Sheet1!$N$22</c:f>
              <c:strCache>
                <c:ptCount val="1"/>
                <c:pt idx="0">
                  <c:v>број на легла (%)</c:v>
                </c:pt>
              </c:strCache>
            </c:strRef>
          </c:tx>
          <c:cat>
            <c:strRef>
              <c:f>Sheet1!$L$23:$L$31</c:f>
              <c:strCache>
                <c:ptCount val="9"/>
                <c:pt idx="0">
                  <c:v>Охрид</c:v>
                </c:pt>
                <c:pt idx="1">
                  <c:v>Скопје</c:v>
                </c:pt>
                <c:pt idx="2">
                  <c:v>Ресен </c:v>
                </c:pt>
                <c:pt idx="3">
                  <c:v>Дојран</c:v>
                </c:pt>
                <c:pt idx="4">
                  <c:v>Струга</c:v>
                </c:pt>
                <c:pt idx="5">
                  <c:v>Тетово</c:v>
                </c:pt>
                <c:pt idx="6">
                  <c:v>Битола</c:v>
                </c:pt>
                <c:pt idx="7">
                  <c:v>Крушево</c:v>
                </c:pt>
                <c:pt idx="8">
                  <c:v>Гевгелија </c:v>
                </c:pt>
              </c:strCache>
            </c:strRef>
          </c:cat>
          <c:val>
            <c:numRef>
              <c:f>Sheet1!$N$23:$N$31</c:f>
              <c:numCache>
                <c:formatCode>General</c:formatCode>
                <c:ptCount val="9"/>
                <c:pt idx="0">
                  <c:v>27.52</c:v>
                </c:pt>
                <c:pt idx="1">
                  <c:v>12.39</c:v>
                </c:pt>
                <c:pt idx="2">
                  <c:v>11.94</c:v>
                </c:pt>
                <c:pt idx="3">
                  <c:v>8.620000000000001</c:v>
                </c:pt>
                <c:pt idx="4">
                  <c:v>10.78</c:v>
                </c:pt>
                <c:pt idx="5">
                  <c:v>2.19</c:v>
                </c:pt>
                <c:pt idx="6">
                  <c:v>2.8699999999999997</c:v>
                </c:pt>
                <c:pt idx="7">
                  <c:v>1.9800000000000064</c:v>
                </c:pt>
                <c:pt idx="8">
                  <c:v>1.72</c:v>
                </c:pt>
              </c:numCache>
            </c:numRef>
          </c:val>
        </c:ser>
        <c:ser>
          <c:idx val="2"/>
          <c:order val="2"/>
          <c:tx>
            <c:strRef>
              <c:f>Sheet1!$O$22</c:f>
              <c:strCache>
                <c:ptCount val="1"/>
                <c:pt idx="0">
                  <c:v>број на соби (%)</c:v>
                </c:pt>
              </c:strCache>
            </c:strRef>
          </c:tx>
          <c:cat>
            <c:strRef>
              <c:f>Sheet1!$L$23:$L$31</c:f>
              <c:strCache>
                <c:ptCount val="9"/>
                <c:pt idx="0">
                  <c:v>Охрид</c:v>
                </c:pt>
                <c:pt idx="1">
                  <c:v>Скопје</c:v>
                </c:pt>
                <c:pt idx="2">
                  <c:v>Ресен </c:v>
                </c:pt>
                <c:pt idx="3">
                  <c:v>Дојран</c:v>
                </c:pt>
                <c:pt idx="4">
                  <c:v>Струга</c:v>
                </c:pt>
                <c:pt idx="5">
                  <c:v>Тетово</c:v>
                </c:pt>
                <c:pt idx="6">
                  <c:v>Битола</c:v>
                </c:pt>
                <c:pt idx="7">
                  <c:v>Крушево</c:v>
                </c:pt>
                <c:pt idx="8">
                  <c:v>Гевгелија </c:v>
                </c:pt>
              </c:strCache>
            </c:strRef>
          </c:cat>
          <c:val>
            <c:numRef>
              <c:f>Sheet1!$O$23:$O$31</c:f>
              <c:numCache>
                <c:formatCode>General</c:formatCode>
                <c:ptCount val="9"/>
                <c:pt idx="0">
                  <c:v>27.830000000000005</c:v>
                </c:pt>
                <c:pt idx="1">
                  <c:v>13.74</c:v>
                </c:pt>
                <c:pt idx="2">
                  <c:v>10.43</c:v>
                </c:pt>
                <c:pt idx="3">
                  <c:v>7.46</c:v>
                </c:pt>
                <c:pt idx="4">
                  <c:v>10.62</c:v>
                </c:pt>
                <c:pt idx="5">
                  <c:v>2.42</c:v>
                </c:pt>
                <c:pt idx="6">
                  <c:v>2.9499999999999997</c:v>
                </c:pt>
                <c:pt idx="7">
                  <c:v>1.42</c:v>
                </c:pt>
                <c:pt idx="8">
                  <c:v>2.08</c:v>
                </c:pt>
              </c:numCache>
            </c:numRef>
          </c:val>
        </c:ser>
        <c:axId val="92067328"/>
        <c:axId val="92068864"/>
      </c:barChart>
      <c:catAx>
        <c:axId val="92067328"/>
        <c:scaling>
          <c:orientation val="minMax"/>
        </c:scaling>
        <c:axPos val="b"/>
        <c:tickLblPos val="nextTo"/>
        <c:txPr>
          <a:bodyPr/>
          <a:lstStyle/>
          <a:p>
            <a:pPr>
              <a:defRPr lang="mk-MK"/>
            </a:pPr>
            <a:endParaRPr lang="en-US"/>
          </a:p>
        </c:txPr>
        <c:crossAx val="92068864"/>
        <c:crosses val="autoZero"/>
        <c:auto val="1"/>
        <c:lblAlgn val="ctr"/>
        <c:lblOffset val="100"/>
      </c:catAx>
      <c:valAx>
        <c:axId val="92068864"/>
        <c:scaling>
          <c:orientation val="minMax"/>
        </c:scaling>
        <c:axPos val="l"/>
        <c:majorGridlines/>
        <c:numFmt formatCode="General" sourceLinked="1"/>
        <c:tickLblPos val="nextTo"/>
        <c:txPr>
          <a:bodyPr/>
          <a:lstStyle/>
          <a:p>
            <a:pPr>
              <a:defRPr lang="mk-MK"/>
            </a:pPr>
            <a:endParaRPr lang="en-US"/>
          </a:p>
        </c:txPr>
        <c:crossAx val="92067328"/>
        <c:crosses val="autoZero"/>
        <c:crossBetween val="between"/>
      </c:valAx>
    </c:plotArea>
    <c:legend>
      <c:legendPos val="r"/>
      <c:txPr>
        <a:bodyPr/>
        <a:lstStyle/>
        <a:p>
          <a:pPr>
            <a:defRPr lang="mk-MK"/>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mk-MK"/>
          </a:pPr>
          <a:endParaRPr lang="en-US"/>
        </a:p>
      </c:txPr>
    </c:title>
    <c:plotArea>
      <c:layout/>
      <c:barChart>
        <c:barDir val="col"/>
        <c:grouping val="clustered"/>
        <c:ser>
          <c:idx val="0"/>
          <c:order val="0"/>
          <c:tx>
            <c:strRef>
              <c:f>Sheet1!$M$45</c:f>
              <c:strCache>
                <c:ptCount val="1"/>
                <c:pt idx="0">
                  <c:v>Број на вработени во сместувачките капацитети(%)</c:v>
                </c:pt>
              </c:strCache>
            </c:strRef>
          </c:tx>
          <c:cat>
            <c:strRef>
              <c:f>Sheet1!$L$46:$L$54</c:f>
              <c:strCache>
                <c:ptCount val="9"/>
                <c:pt idx="0">
                  <c:v>Гевгелија </c:v>
                </c:pt>
                <c:pt idx="1">
                  <c:v>Скопје</c:v>
                </c:pt>
                <c:pt idx="2">
                  <c:v>Охрид</c:v>
                </c:pt>
                <c:pt idx="3">
                  <c:v>Битола</c:v>
                </c:pt>
                <c:pt idx="4">
                  <c:v>Струга</c:v>
                </c:pt>
                <c:pt idx="5">
                  <c:v>Ресен </c:v>
                </c:pt>
                <c:pt idx="6">
                  <c:v>Дојран</c:v>
                </c:pt>
                <c:pt idx="7">
                  <c:v>Тетово</c:v>
                </c:pt>
                <c:pt idx="8">
                  <c:v>Крушево</c:v>
                </c:pt>
              </c:strCache>
            </c:strRef>
          </c:cat>
          <c:val>
            <c:numRef>
              <c:f>Sheet1!$M$46:$M$54</c:f>
              <c:numCache>
                <c:formatCode>General</c:formatCode>
                <c:ptCount val="9"/>
                <c:pt idx="0">
                  <c:v>19.989999999999885</c:v>
                </c:pt>
                <c:pt idx="1">
                  <c:v>19.36</c:v>
                </c:pt>
                <c:pt idx="2">
                  <c:v>17.059999999999999</c:v>
                </c:pt>
                <c:pt idx="3">
                  <c:v>5.71</c:v>
                </c:pt>
                <c:pt idx="4">
                  <c:v>4.87</c:v>
                </c:pt>
                <c:pt idx="5">
                  <c:v>2.98</c:v>
                </c:pt>
                <c:pt idx="6">
                  <c:v>2.61</c:v>
                </c:pt>
                <c:pt idx="7">
                  <c:v>2.09</c:v>
                </c:pt>
                <c:pt idx="8">
                  <c:v>0.5</c:v>
                </c:pt>
              </c:numCache>
            </c:numRef>
          </c:val>
        </c:ser>
        <c:axId val="92113152"/>
        <c:axId val="92119040"/>
      </c:barChart>
      <c:catAx>
        <c:axId val="92113152"/>
        <c:scaling>
          <c:orientation val="minMax"/>
        </c:scaling>
        <c:axPos val="b"/>
        <c:tickLblPos val="nextTo"/>
        <c:txPr>
          <a:bodyPr/>
          <a:lstStyle/>
          <a:p>
            <a:pPr>
              <a:defRPr lang="mk-MK"/>
            </a:pPr>
            <a:endParaRPr lang="en-US"/>
          </a:p>
        </c:txPr>
        <c:crossAx val="92119040"/>
        <c:crosses val="autoZero"/>
        <c:auto val="1"/>
        <c:lblAlgn val="ctr"/>
        <c:lblOffset val="100"/>
      </c:catAx>
      <c:valAx>
        <c:axId val="92119040"/>
        <c:scaling>
          <c:orientation val="minMax"/>
        </c:scaling>
        <c:axPos val="l"/>
        <c:majorGridlines/>
        <c:numFmt formatCode="General" sourceLinked="1"/>
        <c:tickLblPos val="nextTo"/>
        <c:txPr>
          <a:bodyPr/>
          <a:lstStyle/>
          <a:p>
            <a:pPr>
              <a:defRPr lang="mk-MK"/>
            </a:pPr>
            <a:endParaRPr lang="en-US"/>
          </a:p>
        </c:txPr>
        <c:crossAx val="92113152"/>
        <c:crosses val="autoZero"/>
        <c:crossBetween val="between"/>
      </c:valAx>
    </c:plotArea>
    <c:legend>
      <c:legendPos val="r"/>
      <c:txPr>
        <a:bodyPr/>
        <a:lstStyle/>
        <a:p>
          <a:pPr>
            <a:defRPr lang="mk-MK"/>
          </a:pPr>
          <a:endParaRPr lang="en-US"/>
        </a:p>
      </c:txPr>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FD5F4D9A9F4137BC443457C603F557"/>
        <w:category>
          <w:name w:val="General"/>
          <w:gallery w:val="placeholder"/>
        </w:category>
        <w:types>
          <w:type w:val="bbPlcHdr"/>
        </w:types>
        <w:behaviors>
          <w:behavior w:val="content"/>
        </w:behaviors>
        <w:guid w:val="{6FF7FA88-C5D6-40DC-B113-717BA4ACDE98}"/>
      </w:docPartPr>
      <w:docPartBody>
        <w:p w:rsidR="00EE78A6" w:rsidRDefault="00EE78A6" w:rsidP="00EE78A6">
          <w:pPr>
            <w:pStyle w:val="33FD5F4D9A9F4137BC443457C603F557"/>
          </w:pPr>
          <w:r>
            <w:t>[Type the document title]</w:t>
          </w:r>
        </w:p>
      </w:docPartBody>
    </w:docPart>
    <w:docPart>
      <w:docPartPr>
        <w:name w:val="EF79E26A563F410A8C31E894DF6E23A2"/>
        <w:category>
          <w:name w:val="General"/>
          <w:gallery w:val="placeholder"/>
        </w:category>
        <w:types>
          <w:type w:val="bbPlcHdr"/>
        </w:types>
        <w:behaviors>
          <w:behavior w:val="content"/>
        </w:behaviors>
        <w:guid w:val="{C08C2F3A-5287-4058-B353-290F0DCEE833}"/>
      </w:docPartPr>
      <w:docPartBody>
        <w:p w:rsidR="00EE78A6" w:rsidRDefault="00EE78A6" w:rsidP="00EE78A6">
          <w:pPr>
            <w:pStyle w:val="EF79E26A563F410A8C31E894DF6E23A2"/>
          </w:pPr>
          <w:r>
            <w:t>[Pick the date]</w:t>
          </w:r>
        </w:p>
      </w:docPartBody>
    </w:docPart>
    <w:docPart>
      <w:docPartPr>
        <w:name w:val="2647995DD8CB40808F4C7A9B21A41D7D"/>
        <w:category>
          <w:name w:val="General"/>
          <w:gallery w:val="placeholder"/>
        </w:category>
        <w:types>
          <w:type w:val="bbPlcHdr"/>
        </w:types>
        <w:behaviors>
          <w:behavior w:val="content"/>
        </w:behaviors>
        <w:guid w:val="{7FAB2A91-38E1-4A2A-81DA-580143AB7125}"/>
      </w:docPartPr>
      <w:docPartBody>
        <w:p w:rsidR="00EE78A6" w:rsidRDefault="00EE78A6" w:rsidP="00EE78A6">
          <w:pPr>
            <w:pStyle w:val="2647995DD8CB40808F4C7A9B21A41D7D"/>
          </w:pPr>
          <w:r>
            <w:t>[Type the document title]</w:t>
          </w:r>
        </w:p>
      </w:docPartBody>
    </w:docPart>
    <w:docPart>
      <w:docPartPr>
        <w:name w:val="C495F7741F404C9992B28A9E6BFC412F"/>
        <w:category>
          <w:name w:val="General"/>
          <w:gallery w:val="placeholder"/>
        </w:category>
        <w:types>
          <w:type w:val="bbPlcHdr"/>
        </w:types>
        <w:behaviors>
          <w:behavior w:val="content"/>
        </w:behaviors>
        <w:guid w:val="{92761A22-C97C-49C3-963C-7820B6F0745F}"/>
      </w:docPartPr>
      <w:docPartBody>
        <w:p w:rsidR="00EE78A6" w:rsidRDefault="00EE78A6" w:rsidP="00EE78A6">
          <w:pPr>
            <w:pStyle w:val="C495F7741F404C9992B28A9E6BFC412F"/>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cedonian Tm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E78A6"/>
    <w:rsid w:val="00EE7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970653B174EE0B2BEFEEC0900C396">
    <w:name w:val="86A970653B174EE0B2BEFEEC0900C396"/>
    <w:rsid w:val="00EE78A6"/>
  </w:style>
  <w:style w:type="paragraph" w:customStyle="1" w:styleId="E419136F4E514B1AB2D0EA9BA9679B11">
    <w:name w:val="E419136F4E514B1AB2D0EA9BA9679B11"/>
    <w:rsid w:val="00EE78A6"/>
  </w:style>
  <w:style w:type="paragraph" w:customStyle="1" w:styleId="02707123A1D144C49786FF0C71827E01">
    <w:name w:val="02707123A1D144C49786FF0C71827E01"/>
    <w:rsid w:val="00EE78A6"/>
  </w:style>
  <w:style w:type="paragraph" w:customStyle="1" w:styleId="259436A3BDDD4820B7DC6F46D43FC68D">
    <w:name w:val="259436A3BDDD4820B7DC6F46D43FC68D"/>
    <w:rsid w:val="00EE78A6"/>
  </w:style>
  <w:style w:type="paragraph" w:customStyle="1" w:styleId="33FD5F4D9A9F4137BC443457C603F557">
    <w:name w:val="33FD5F4D9A9F4137BC443457C603F557"/>
    <w:rsid w:val="00EE78A6"/>
  </w:style>
  <w:style w:type="paragraph" w:customStyle="1" w:styleId="EF79E26A563F410A8C31E894DF6E23A2">
    <w:name w:val="EF79E26A563F410A8C31E894DF6E23A2"/>
    <w:rsid w:val="00EE78A6"/>
  </w:style>
  <w:style w:type="paragraph" w:customStyle="1" w:styleId="317BD42710D94F4A8168C62D96FBED19">
    <w:name w:val="317BD42710D94F4A8168C62D96FBED19"/>
    <w:rsid w:val="00EE78A6"/>
  </w:style>
  <w:style w:type="paragraph" w:customStyle="1" w:styleId="2647995DD8CB40808F4C7A9B21A41D7D">
    <w:name w:val="2647995DD8CB40808F4C7A9B21A41D7D"/>
    <w:rsid w:val="00EE78A6"/>
  </w:style>
  <w:style w:type="paragraph" w:customStyle="1" w:styleId="C495F7741F404C9992B28A9E6BFC412F">
    <w:name w:val="C495F7741F404C9992B28A9E6BFC412F"/>
    <w:rsid w:val="00EE78A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ДОЈРАН, АПРИЛ, 20. 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29FE16-879C-44F7-9D3C-E47AFDE1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ТУРИЗМОТ ВО ДОЈРАНСКИОТ РЕГИОН</dc:title>
  <dc:subject/>
  <dc:creator>Nikola</dc:creator>
  <cp:keywords/>
  <dc:description/>
  <cp:lastModifiedBy>Nikola</cp:lastModifiedBy>
  <cp:revision>1</cp:revision>
  <dcterms:created xsi:type="dcterms:W3CDTF">2013-01-29T16:51:00Z</dcterms:created>
  <dcterms:modified xsi:type="dcterms:W3CDTF">2013-01-29T17:03:00Z</dcterms:modified>
</cp:coreProperties>
</file>