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C1" w:rsidRPr="00E0629A" w:rsidRDefault="00004DC1" w:rsidP="00004DC1">
      <w:pPr>
        <w:jc w:val="center"/>
        <w:rPr>
          <w:b/>
          <w:sz w:val="28"/>
          <w:szCs w:val="28"/>
          <w:lang w:val="en-US"/>
        </w:rPr>
      </w:pPr>
      <w:r w:rsidRPr="00E0629A">
        <w:rPr>
          <w:b/>
          <w:sz w:val="28"/>
          <w:szCs w:val="28"/>
          <w:lang w:val="en-US"/>
        </w:rPr>
        <w:t xml:space="preserve">BOLOGNA PROCESS: CHALLENGES AND OPPORTUNITIES FOR THE EDUCATION OF </w:t>
      </w:r>
      <w:r w:rsidR="00F0123F" w:rsidRPr="00E0629A">
        <w:rPr>
          <w:b/>
          <w:sz w:val="28"/>
          <w:szCs w:val="28"/>
          <w:lang w:val="en-US"/>
        </w:rPr>
        <w:t xml:space="preserve">PRESCHOOL </w:t>
      </w:r>
      <w:r w:rsidR="00B4416D" w:rsidRPr="00E0629A">
        <w:rPr>
          <w:b/>
          <w:sz w:val="28"/>
          <w:szCs w:val="28"/>
          <w:lang w:val="en-US"/>
        </w:rPr>
        <w:t>TEACHERS</w:t>
      </w:r>
    </w:p>
    <w:p w:rsidR="00004DC1" w:rsidRPr="00025BBA" w:rsidRDefault="00004DC1" w:rsidP="00004DC1">
      <w:pPr>
        <w:jc w:val="center"/>
        <w:rPr>
          <w:b/>
          <w:lang w:val="en-US"/>
        </w:rPr>
      </w:pPr>
    </w:p>
    <w:p w:rsidR="00004DC1" w:rsidRPr="00025BBA" w:rsidRDefault="00004DC1" w:rsidP="00004DC1">
      <w:pPr>
        <w:jc w:val="center"/>
        <w:rPr>
          <w:b/>
          <w:lang w:val="en-US"/>
        </w:rPr>
      </w:pPr>
      <w:r w:rsidRPr="00025BBA">
        <w:rPr>
          <w:b/>
          <w:lang w:val="en-US"/>
        </w:rPr>
        <w:t xml:space="preserve"> Kiril T. Barbareev</w:t>
      </w:r>
    </w:p>
    <w:p w:rsidR="00004DC1" w:rsidRPr="00025BBA" w:rsidRDefault="00004DC1" w:rsidP="00004DC1">
      <w:pPr>
        <w:jc w:val="center"/>
        <w:rPr>
          <w:b/>
          <w:lang w:val="en-US"/>
        </w:rPr>
      </w:pPr>
    </w:p>
    <w:p w:rsidR="00004DC1" w:rsidRDefault="00004DC1" w:rsidP="00004DC1">
      <w:pPr>
        <w:jc w:val="center"/>
        <w:rPr>
          <w:b/>
          <w:lang w:val="en-US"/>
        </w:rPr>
      </w:pPr>
      <w:r w:rsidRPr="00025BBA">
        <w:rPr>
          <w:b/>
          <w:lang w:val="en-US"/>
        </w:rPr>
        <w:t>Abstract</w:t>
      </w:r>
    </w:p>
    <w:p w:rsidR="00E0629A" w:rsidRPr="00025BBA" w:rsidRDefault="00E0629A" w:rsidP="00004DC1">
      <w:pPr>
        <w:jc w:val="center"/>
        <w:rPr>
          <w:b/>
          <w:lang w:val="en-US"/>
        </w:rPr>
      </w:pPr>
    </w:p>
    <w:p w:rsidR="00004DC1" w:rsidRPr="00E0629A" w:rsidRDefault="00004DC1" w:rsidP="00004DC1">
      <w:pPr>
        <w:ind w:firstLine="720"/>
        <w:rPr>
          <w:i/>
          <w:sz w:val="20"/>
          <w:szCs w:val="20"/>
          <w:lang w:val="en-US"/>
        </w:rPr>
      </w:pPr>
      <w:r w:rsidRPr="00E0629A">
        <w:rPr>
          <w:i/>
          <w:sz w:val="20"/>
          <w:szCs w:val="20"/>
          <w:lang w:val="en-US"/>
        </w:rPr>
        <w:t xml:space="preserve">Today, in Europe, all </w:t>
      </w:r>
      <w:r w:rsidR="00F0123F" w:rsidRPr="00E0629A">
        <w:rPr>
          <w:i/>
          <w:sz w:val="20"/>
          <w:szCs w:val="20"/>
          <w:lang w:val="en-US"/>
        </w:rPr>
        <w:t>preschool teachers</w:t>
      </w:r>
      <w:r w:rsidRPr="00E0629A">
        <w:rPr>
          <w:i/>
          <w:sz w:val="20"/>
          <w:szCs w:val="20"/>
          <w:lang w:val="en-US"/>
        </w:rPr>
        <w:t xml:space="preserve"> working in preschool education and </w:t>
      </w:r>
      <w:r w:rsidR="00864D17" w:rsidRPr="00E0629A">
        <w:rPr>
          <w:i/>
          <w:sz w:val="20"/>
          <w:szCs w:val="20"/>
          <w:lang w:val="en-US"/>
        </w:rPr>
        <w:t xml:space="preserve">with </w:t>
      </w:r>
      <w:r w:rsidRPr="00E0629A">
        <w:rPr>
          <w:i/>
          <w:sz w:val="20"/>
          <w:szCs w:val="20"/>
          <w:lang w:val="en-US"/>
        </w:rPr>
        <w:t xml:space="preserve">children from early school age are educated at least to the first level. Institutions that educate teachers follow national guidelines set by the ministries of education or professional bodies, which results </w:t>
      </w:r>
      <w:r w:rsidR="00F0123F" w:rsidRPr="00E0629A">
        <w:rPr>
          <w:i/>
          <w:sz w:val="20"/>
          <w:szCs w:val="20"/>
          <w:lang w:val="en-US"/>
        </w:rPr>
        <w:t>wi</w:t>
      </w:r>
      <w:r w:rsidRPr="00E0629A">
        <w:rPr>
          <w:i/>
          <w:sz w:val="20"/>
          <w:szCs w:val="20"/>
          <w:lang w:val="en-US"/>
        </w:rPr>
        <w:t xml:space="preserve">th a degree of homogeneity of the programs. But there are countries in which university autonomy has priority and then great disparities can arise among curricula and subject programs and courses as well as modules at universities that educate the same profiles. In the last decade the field of curricula for the education of </w:t>
      </w:r>
      <w:r w:rsidR="00864D17" w:rsidRPr="00E0629A">
        <w:rPr>
          <w:i/>
          <w:sz w:val="20"/>
          <w:szCs w:val="20"/>
          <w:lang w:val="en-US"/>
        </w:rPr>
        <w:t xml:space="preserve">preschool </w:t>
      </w:r>
      <w:r w:rsidRPr="00E0629A">
        <w:rPr>
          <w:i/>
          <w:sz w:val="20"/>
          <w:szCs w:val="20"/>
          <w:lang w:val="en-US"/>
        </w:rPr>
        <w:t>teachers has witnessed some novelties which are introduced by the Bologna process and which are based on the methodology for the reconstruction of the European higher education area.</w:t>
      </w:r>
    </w:p>
    <w:p w:rsidR="00004DC1" w:rsidRPr="00025BBA" w:rsidRDefault="00004DC1" w:rsidP="00004DC1">
      <w:pPr>
        <w:rPr>
          <w:i/>
          <w:lang w:val="en-US"/>
        </w:rPr>
      </w:pPr>
    </w:p>
    <w:p w:rsidR="00004DC1" w:rsidRPr="00025BBA" w:rsidRDefault="00004DC1" w:rsidP="00004DC1">
      <w:pPr>
        <w:ind w:firstLine="720"/>
        <w:rPr>
          <w:lang w:val="en-US"/>
        </w:rPr>
      </w:pPr>
      <w:r w:rsidRPr="00025BBA">
        <w:rPr>
          <w:b/>
          <w:lang w:val="en-US"/>
        </w:rPr>
        <w:t xml:space="preserve">Key words: </w:t>
      </w:r>
      <w:r w:rsidRPr="00E0629A">
        <w:rPr>
          <w:sz w:val="20"/>
          <w:szCs w:val="20"/>
          <w:lang w:val="en-US"/>
        </w:rPr>
        <w:t>Bologna process, initial education, educators, study programs.</w:t>
      </w:r>
    </w:p>
    <w:p w:rsidR="00004DC1" w:rsidRDefault="00004DC1" w:rsidP="00004DC1">
      <w:pPr>
        <w:rPr>
          <w:lang w:val="en-US"/>
        </w:rPr>
      </w:pPr>
    </w:p>
    <w:p w:rsidR="00D47FC4" w:rsidRPr="00025BBA" w:rsidRDefault="00D47FC4" w:rsidP="00004DC1">
      <w:pPr>
        <w:rPr>
          <w:lang w:val="en-US"/>
        </w:rPr>
      </w:pPr>
    </w:p>
    <w:p w:rsidR="00004DC1" w:rsidRPr="00025BBA" w:rsidRDefault="00004DC1" w:rsidP="00004DC1">
      <w:pPr>
        <w:jc w:val="right"/>
        <w:rPr>
          <w:lang w:val="en-US"/>
        </w:rPr>
      </w:pPr>
      <w:r w:rsidRPr="00025BBA">
        <w:rPr>
          <w:b/>
          <w:lang w:val="en-US"/>
        </w:rPr>
        <w:t xml:space="preserve">"The whole secret of the </w:t>
      </w:r>
      <w:r w:rsidR="00A3550C" w:rsidRPr="00025BBA">
        <w:rPr>
          <w:b/>
          <w:lang w:val="en-US"/>
        </w:rPr>
        <w:t xml:space="preserve">clock </w:t>
      </w:r>
      <w:r w:rsidRPr="00025BBA">
        <w:rPr>
          <w:b/>
          <w:lang w:val="en-US"/>
        </w:rPr>
        <w:t xml:space="preserve">lies ​​in the order. </w:t>
      </w:r>
      <w:r w:rsidRPr="00025BBA">
        <w:rPr>
          <w:b/>
          <w:lang w:val="en-US"/>
        </w:rPr>
        <w:br/>
        <w:t xml:space="preserve">There is hope to find a model of </w:t>
      </w:r>
      <w:r w:rsidR="00A3550C" w:rsidRPr="00025BBA">
        <w:rPr>
          <w:b/>
          <w:lang w:val="en-US"/>
        </w:rPr>
        <w:t xml:space="preserve">education </w:t>
      </w:r>
      <w:r w:rsidR="00A3550C" w:rsidRPr="00025BBA">
        <w:rPr>
          <w:b/>
          <w:lang w:val="en-US"/>
        </w:rPr>
        <w:br/>
        <w:t>similar to the clock</w:t>
      </w:r>
      <w:r w:rsidRPr="00025BBA">
        <w:rPr>
          <w:b/>
          <w:lang w:val="en-US"/>
        </w:rPr>
        <w:t>"</w:t>
      </w:r>
      <w:r w:rsidRPr="00025BBA">
        <w:rPr>
          <w:lang w:val="en-US"/>
        </w:rPr>
        <w:t xml:space="preserve"> </w:t>
      </w:r>
      <w:r w:rsidRPr="00025BBA">
        <w:rPr>
          <w:lang w:val="en-US"/>
        </w:rPr>
        <w:br/>
        <w:t>Jan Amos Comenius (1592-1670)</w:t>
      </w:r>
    </w:p>
    <w:p w:rsidR="00A439A8" w:rsidRPr="00025BBA" w:rsidRDefault="00A439A8" w:rsidP="00A439A8">
      <w:pPr>
        <w:ind w:firstLine="360"/>
        <w:rPr>
          <w:lang w:val="en-US" w:eastAsia="en-GB"/>
        </w:rPr>
      </w:pPr>
      <w:r w:rsidRPr="00025BBA">
        <w:rPr>
          <w:lang w:val="en-US" w:eastAsia="en-GB"/>
        </w:rPr>
        <w:tab/>
      </w:r>
      <w:r w:rsidRPr="00025BBA">
        <w:rPr>
          <w:lang w:val="en-US" w:eastAsia="en-GB"/>
        </w:rPr>
        <w:tab/>
      </w:r>
      <w:r w:rsidRPr="00025BBA">
        <w:rPr>
          <w:lang w:val="en-US" w:eastAsia="en-GB"/>
        </w:rPr>
        <w:tab/>
      </w:r>
      <w:r w:rsidRPr="00025BBA">
        <w:rPr>
          <w:lang w:val="en-US" w:eastAsia="en-GB"/>
        </w:rPr>
        <w:tab/>
      </w:r>
      <w:r w:rsidRPr="00025BBA">
        <w:rPr>
          <w:lang w:val="en-US" w:eastAsia="en-GB"/>
        </w:rPr>
        <w:tab/>
      </w:r>
      <w:r w:rsidRPr="00025BBA">
        <w:rPr>
          <w:lang w:val="en-US" w:eastAsia="en-GB"/>
        </w:rPr>
        <w:tab/>
      </w:r>
    </w:p>
    <w:p w:rsidR="00A439A8" w:rsidRPr="00025BBA" w:rsidRDefault="00A439A8" w:rsidP="00D47FC4">
      <w:pPr>
        <w:rPr>
          <w:lang w:val="en-US" w:eastAsia="en-GB"/>
        </w:rPr>
      </w:pPr>
    </w:p>
    <w:p w:rsidR="00A439A8" w:rsidRPr="00025BBA" w:rsidRDefault="00004DC1" w:rsidP="00004DC1">
      <w:pPr>
        <w:ind w:firstLine="360"/>
        <w:rPr>
          <w:sz w:val="32"/>
          <w:lang w:val="en-US"/>
        </w:rPr>
      </w:pPr>
      <w:r w:rsidRPr="00025BBA">
        <w:rPr>
          <w:lang w:val="en-US"/>
        </w:rPr>
        <w:t>Education is a multidisciplinary subject which comprises a series of core disciplines: psychology, philosophy, sociology, applied linguistics, curriculum studies, social and political sciences, social anthropology and history</w:t>
      </w:r>
      <w:r w:rsidR="00A439A8" w:rsidRPr="00025BBA">
        <w:rPr>
          <w:lang w:val="en-US" w:eastAsia="en-GB"/>
        </w:rPr>
        <w:t>.</w:t>
      </w:r>
      <w:r w:rsidR="00A439A8" w:rsidRPr="00025BBA">
        <w:rPr>
          <w:vertAlign w:val="superscript"/>
          <w:lang w:val="en-US" w:eastAsia="en-GB"/>
        </w:rPr>
        <w:footnoteReference w:id="1"/>
      </w:r>
    </w:p>
    <w:p w:rsidR="00A439A8" w:rsidRPr="00025BBA" w:rsidRDefault="00B4416D" w:rsidP="00A439A8">
      <w:pPr>
        <w:ind w:firstLine="360"/>
        <w:rPr>
          <w:lang w:val="en-US" w:eastAsia="en-GB"/>
        </w:rPr>
      </w:pPr>
      <w:r w:rsidRPr="00025BBA">
        <w:rPr>
          <w:lang w:val="en-US" w:eastAsia="en-GB"/>
        </w:rPr>
        <w:t xml:space="preserve">This </w:t>
      </w:r>
      <w:r w:rsidRPr="00025BBA">
        <w:rPr>
          <w:lang w:val="en-US"/>
        </w:rPr>
        <w:t>subject is divided into two broad but closely related areas</w:t>
      </w:r>
      <w:r w:rsidR="00A439A8" w:rsidRPr="00025BBA">
        <w:rPr>
          <w:lang w:val="en-US" w:eastAsia="en-GB"/>
        </w:rPr>
        <w:t>:</w:t>
      </w:r>
      <w:r w:rsidR="00A439A8" w:rsidRPr="00025BBA">
        <w:rPr>
          <w:vertAlign w:val="superscript"/>
          <w:lang w:val="en-US" w:eastAsia="en-GB"/>
        </w:rPr>
        <w:footnoteReference w:id="2"/>
      </w:r>
    </w:p>
    <w:p w:rsidR="00A439A8" w:rsidRPr="00025BBA" w:rsidRDefault="00A439A8" w:rsidP="00A439A8">
      <w:pPr>
        <w:ind w:firstLine="360"/>
        <w:rPr>
          <w:b/>
          <w:lang w:val="en-US" w:eastAsia="en-GB"/>
        </w:rPr>
      </w:pPr>
      <w:r w:rsidRPr="00025BBA">
        <w:rPr>
          <w:b/>
          <w:lang w:val="en-US" w:eastAsia="en-GB"/>
        </w:rPr>
        <w:t xml:space="preserve">- </w:t>
      </w:r>
      <w:proofErr w:type="gramStart"/>
      <w:r w:rsidR="00B4416D" w:rsidRPr="00025BBA">
        <w:rPr>
          <w:b/>
          <w:lang w:val="en-US" w:eastAsia="en-GB"/>
        </w:rPr>
        <w:t>teacher’s</w:t>
      </w:r>
      <w:proofErr w:type="gramEnd"/>
      <w:r w:rsidR="00B4416D" w:rsidRPr="00025BBA">
        <w:rPr>
          <w:b/>
          <w:lang w:val="en-US" w:eastAsia="en-GB"/>
        </w:rPr>
        <w:t xml:space="preserve"> education</w:t>
      </w:r>
      <w:r w:rsidRPr="00025BBA">
        <w:rPr>
          <w:b/>
          <w:lang w:val="en-US" w:eastAsia="en-GB"/>
        </w:rPr>
        <w:t xml:space="preserve"> (</w:t>
      </w:r>
      <w:r w:rsidR="00B4416D" w:rsidRPr="00025BBA">
        <w:rPr>
          <w:b/>
          <w:lang w:val="en-US" w:eastAsia="en-GB"/>
        </w:rPr>
        <w:t>including kindergarten teachers</w:t>
      </w:r>
      <w:r w:rsidRPr="00025BBA">
        <w:rPr>
          <w:b/>
          <w:lang w:val="en-US" w:eastAsia="en-GB"/>
        </w:rPr>
        <w:t>),</w:t>
      </w:r>
    </w:p>
    <w:p w:rsidR="00A439A8" w:rsidRPr="00025BBA" w:rsidRDefault="00A439A8" w:rsidP="00A439A8">
      <w:pPr>
        <w:ind w:firstLine="360"/>
        <w:rPr>
          <w:b/>
          <w:lang w:val="en-US" w:eastAsia="en-GB"/>
        </w:rPr>
      </w:pPr>
      <w:r w:rsidRPr="00025BBA">
        <w:rPr>
          <w:b/>
          <w:lang w:val="en-US" w:eastAsia="en-GB"/>
        </w:rPr>
        <w:t xml:space="preserve">- </w:t>
      </w:r>
      <w:proofErr w:type="gramStart"/>
      <w:r w:rsidR="00B4416D" w:rsidRPr="00025BBA">
        <w:rPr>
          <w:b/>
          <w:lang w:val="en-US" w:eastAsia="en-GB"/>
        </w:rPr>
        <w:t>educational</w:t>
      </w:r>
      <w:proofErr w:type="gramEnd"/>
      <w:r w:rsidR="00B4416D" w:rsidRPr="00025BBA">
        <w:rPr>
          <w:b/>
          <w:lang w:val="en-US" w:eastAsia="en-GB"/>
        </w:rPr>
        <w:t xml:space="preserve"> sciences</w:t>
      </w:r>
      <w:r w:rsidRPr="00025BBA">
        <w:rPr>
          <w:b/>
          <w:lang w:val="en-US" w:eastAsia="en-GB"/>
        </w:rPr>
        <w:t>.</w:t>
      </w:r>
    </w:p>
    <w:p w:rsidR="00F0123F" w:rsidRPr="00025BBA" w:rsidRDefault="00F0123F" w:rsidP="00F0123F">
      <w:pPr>
        <w:ind w:firstLine="360"/>
        <w:rPr>
          <w:lang w:val="en-US"/>
        </w:rPr>
      </w:pPr>
      <w:r w:rsidRPr="00025BBA">
        <w:rPr>
          <w:lang w:val="en-US"/>
        </w:rPr>
        <w:t xml:space="preserve">Today, in Europe, all preschool teachers working in preschool education and </w:t>
      </w:r>
      <w:r w:rsidR="00864D17" w:rsidRPr="00025BBA">
        <w:rPr>
          <w:lang w:val="en-US"/>
        </w:rPr>
        <w:t xml:space="preserve">with </w:t>
      </w:r>
      <w:r w:rsidRPr="00025BBA">
        <w:rPr>
          <w:lang w:val="en-US"/>
        </w:rPr>
        <w:t xml:space="preserve">children from early school age are educated at least to the </w:t>
      </w:r>
      <w:r w:rsidRPr="00025BBA">
        <w:rPr>
          <w:b/>
          <w:lang w:val="en-US"/>
        </w:rPr>
        <w:t>first level</w:t>
      </w:r>
      <w:r w:rsidRPr="00025BBA">
        <w:rPr>
          <w:lang w:val="en-US"/>
        </w:rPr>
        <w:t xml:space="preserve">. Institutions that educate teachers follow national guidelines set by the ministries of education or professional bodies, which results with a degree of homogeneity of the programs. </w:t>
      </w:r>
      <w:r w:rsidR="00864D17" w:rsidRPr="00025BBA">
        <w:rPr>
          <w:lang w:val="en-US"/>
        </w:rPr>
        <w:t>But there are also countries in which university autonomy has a priority and in such a case great disparities can arise among the curricula and subject programs and courses, as well as modules at universities educating the same profiles.</w:t>
      </w:r>
    </w:p>
    <w:p w:rsidR="00F0123F" w:rsidRPr="00025BBA" w:rsidRDefault="00864D17" w:rsidP="00864D17">
      <w:pPr>
        <w:ind w:firstLine="360"/>
        <w:rPr>
          <w:lang w:val="en-US"/>
        </w:rPr>
      </w:pPr>
      <w:r w:rsidRPr="00025BBA">
        <w:rPr>
          <w:lang w:val="en-US"/>
        </w:rPr>
        <w:t>In the last decade the field of curricula for the education of preschool teachers has witnessed some novelties which are introduced by the Bologna process and which are based on the methodology for the reconstruction of the European higher education area</w:t>
      </w:r>
      <w:r w:rsidRPr="00025BBA">
        <w:rPr>
          <w:i/>
          <w:lang w:val="en-US"/>
        </w:rPr>
        <w:t xml:space="preserve">. </w:t>
      </w:r>
    </w:p>
    <w:p w:rsidR="000E21F3" w:rsidRPr="00025BBA" w:rsidRDefault="000E21F3" w:rsidP="00A439A8">
      <w:pPr>
        <w:ind w:firstLine="360"/>
        <w:rPr>
          <w:lang w:val="en-US" w:eastAsia="en-GB"/>
        </w:rPr>
      </w:pPr>
    </w:p>
    <w:p w:rsidR="00DC7FAC" w:rsidRPr="00025BBA" w:rsidRDefault="00DC7FAC" w:rsidP="00A439A8">
      <w:pPr>
        <w:ind w:firstLine="360"/>
        <w:rPr>
          <w:lang w:val="en-US" w:eastAsia="en-GB"/>
        </w:rPr>
      </w:pPr>
    </w:p>
    <w:p w:rsidR="00DC7FAC" w:rsidRPr="00025BBA" w:rsidRDefault="00DC7FAC" w:rsidP="00A439A8">
      <w:pPr>
        <w:ind w:firstLine="360"/>
        <w:rPr>
          <w:lang w:val="en-US" w:eastAsia="en-GB"/>
        </w:rPr>
      </w:pPr>
      <w:r w:rsidRPr="00025BBA">
        <w:rPr>
          <w:lang w:val="en-US"/>
        </w:rPr>
        <w:t xml:space="preserve">The </w:t>
      </w:r>
      <w:r w:rsidR="00986ACA" w:rsidRPr="00025BBA">
        <w:rPr>
          <w:lang w:val="en-US"/>
        </w:rPr>
        <w:t>most significant</w:t>
      </w:r>
      <w:r w:rsidRPr="00025BBA">
        <w:rPr>
          <w:lang w:val="en-US"/>
        </w:rPr>
        <w:t xml:space="preserve"> news </w:t>
      </w:r>
      <w:r w:rsidR="00986ACA" w:rsidRPr="00025BBA">
        <w:rPr>
          <w:lang w:val="en-US"/>
        </w:rPr>
        <w:t xml:space="preserve">is the </w:t>
      </w:r>
      <w:r w:rsidRPr="00025BBA">
        <w:rPr>
          <w:lang w:val="en-US"/>
        </w:rPr>
        <w:t>sharpen</w:t>
      </w:r>
      <w:r w:rsidR="00986ACA" w:rsidRPr="00025BBA">
        <w:rPr>
          <w:lang w:val="en-US"/>
        </w:rPr>
        <w:t>ing of</w:t>
      </w:r>
      <w:r w:rsidRPr="00025BBA">
        <w:rPr>
          <w:lang w:val="en-US"/>
        </w:rPr>
        <w:t xml:space="preserve"> the focus on th</w:t>
      </w:r>
      <w:r w:rsidR="00FC529F" w:rsidRPr="00025BBA">
        <w:rPr>
          <w:lang w:val="en-US"/>
        </w:rPr>
        <w:t>e results of the study programs</w:t>
      </w:r>
      <w:r w:rsidRPr="00025BBA">
        <w:rPr>
          <w:lang w:val="en-US"/>
        </w:rPr>
        <w:t xml:space="preserve"> expressed in </w:t>
      </w:r>
      <w:r w:rsidRPr="00025BBA">
        <w:rPr>
          <w:b/>
          <w:u w:val="single"/>
          <w:lang w:val="en-US"/>
        </w:rPr>
        <w:t>competences</w:t>
      </w:r>
      <w:r w:rsidRPr="00025BBA">
        <w:rPr>
          <w:lang w:val="en-US"/>
        </w:rPr>
        <w:t xml:space="preserve"> (knowledge, skills, </w:t>
      </w:r>
      <w:r w:rsidR="00025BBA" w:rsidRPr="00025BBA">
        <w:rPr>
          <w:lang w:val="en-US"/>
        </w:rPr>
        <w:t>and abilities</w:t>
      </w:r>
      <w:r w:rsidRPr="00025BBA">
        <w:rPr>
          <w:lang w:val="en-US"/>
        </w:rPr>
        <w:t xml:space="preserve">). This means that </w:t>
      </w:r>
      <w:r w:rsidR="00FC529F" w:rsidRPr="00025BBA">
        <w:rPr>
          <w:lang w:val="en-US"/>
        </w:rPr>
        <w:t xml:space="preserve">a </w:t>
      </w:r>
      <w:r w:rsidRPr="00025BBA">
        <w:rPr>
          <w:lang w:val="en-US"/>
        </w:rPr>
        <w:t xml:space="preserve">study program for </w:t>
      </w:r>
      <w:r w:rsidR="00FC529F" w:rsidRPr="00025BBA">
        <w:rPr>
          <w:lang w:val="en-US"/>
        </w:rPr>
        <w:t xml:space="preserve">preschool </w:t>
      </w:r>
      <w:r w:rsidRPr="00025BBA">
        <w:rPr>
          <w:lang w:val="en-US"/>
        </w:rPr>
        <w:t xml:space="preserve">teachers should </w:t>
      </w:r>
      <w:r w:rsidR="00FC529F" w:rsidRPr="00025BBA">
        <w:rPr>
          <w:lang w:val="en-US"/>
        </w:rPr>
        <w:t xml:space="preserve">necessarily state </w:t>
      </w:r>
      <w:r w:rsidRPr="00025BBA">
        <w:rPr>
          <w:b/>
          <w:u w:val="single"/>
          <w:lang w:val="en-US"/>
        </w:rPr>
        <w:t xml:space="preserve">general (generic) and </w:t>
      </w:r>
      <w:r w:rsidR="00025BBA">
        <w:rPr>
          <w:b/>
          <w:u w:val="single"/>
          <w:lang w:val="en-US"/>
        </w:rPr>
        <w:t xml:space="preserve">subject </w:t>
      </w:r>
      <w:r w:rsidR="00025BBA">
        <w:rPr>
          <w:b/>
          <w:u w:val="single"/>
          <w:lang w:val="en-US"/>
        </w:rPr>
        <w:lastRenderedPageBreak/>
        <w:t>- specific competenc</w:t>
      </w:r>
      <w:r w:rsidRPr="00025BBA">
        <w:rPr>
          <w:b/>
          <w:u w:val="single"/>
          <w:lang w:val="en-US"/>
        </w:rPr>
        <w:t>es</w:t>
      </w:r>
      <w:r w:rsidRPr="00025BBA">
        <w:rPr>
          <w:lang w:val="en-US"/>
        </w:rPr>
        <w:t>,</w:t>
      </w:r>
      <w:r w:rsidR="009F190A" w:rsidRPr="00025BBA">
        <w:rPr>
          <w:lang w:val="en-US"/>
        </w:rPr>
        <w:t xml:space="preserve"> which, </w:t>
      </w:r>
      <w:r w:rsidRPr="00025BBA">
        <w:rPr>
          <w:lang w:val="en-US"/>
        </w:rPr>
        <w:t xml:space="preserve">together with </w:t>
      </w:r>
      <w:r w:rsidRPr="00025BBA">
        <w:rPr>
          <w:b/>
          <w:u w:val="single"/>
          <w:lang w:val="en-US"/>
        </w:rPr>
        <w:t>descriptors</w:t>
      </w:r>
      <w:r w:rsidRPr="00025BBA">
        <w:rPr>
          <w:lang w:val="en-US"/>
        </w:rPr>
        <w:t xml:space="preserve"> (indicators) </w:t>
      </w:r>
      <w:r w:rsidR="009F190A" w:rsidRPr="00025BBA">
        <w:rPr>
          <w:lang w:val="en-US"/>
        </w:rPr>
        <w:t xml:space="preserve">of </w:t>
      </w:r>
      <w:r w:rsidRPr="00025BBA">
        <w:rPr>
          <w:lang w:val="en-US"/>
        </w:rPr>
        <w:t>level</w:t>
      </w:r>
      <w:r w:rsidR="009F190A" w:rsidRPr="00025BBA">
        <w:rPr>
          <w:lang w:val="en-US"/>
        </w:rPr>
        <w:t>s</w:t>
      </w:r>
      <w:r w:rsidRPr="00025BBA">
        <w:rPr>
          <w:lang w:val="en-US"/>
        </w:rPr>
        <w:t xml:space="preserve"> of study </w:t>
      </w:r>
      <w:r w:rsidR="009F190A" w:rsidRPr="00025BBA">
        <w:rPr>
          <w:lang w:val="en-US"/>
        </w:rPr>
        <w:t xml:space="preserve">decide on the </w:t>
      </w:r>
      <w:r w:rsidRPr="00025BBA">
        <w:rPr>
          <w:lang w:val="en-US"/>
        </w:rPr>
        <w:t>qualification of a graduate.</w:t>
      </w:r>
    </w:p>
    <w:p w:rsidR="00A439A8" w:rsidRPr="00025BBA" w:rsidRDefault="007634E6" w:rsidP="00A439A8">
      <w:pPr>
        <w:ind w:firstLine="360"/>
        <w:rPr>
          <w:lang w:val="en-US" w:eastAsia="en-GB"/>
        </w:rPr>
      </w:pPr>
      <w:r w:rsidRPr="00025BBA">
        <w:rPr>
          <w:lang w:val="en-US"/>
        </w:rPr>
        <w:t xml:space="preserve">Hence, future </w:t>
      </w:r>
      <w:r w:rsidR="00E42392" w:rsidRPr="00025BBA">
        <w:rPr>
          <w:lang w:val="en-US"/>
        </w:rPr>
        <w:t xml:space="preserve">preschool </w:t>
      </w:r>
      <w:r w:rsidRPr="00025BBA">
        <w:rPr>
          <w:lang w:val="en-US"/>
        </w:rPr>
        <w:t>teachers mu</w:t>
      </w:r>
      <w:r w:rsidR="00E42392" w:rsidRPr="00025BBA">
        <w:rPr>
          <w:lang w:val="en-US"/>
        </w:rPr>
        <w:t>st acquire a range of competenc</w:t>
      </w:r>
      <w:r w:rsidRPr="00025BBA">
        <w:rPr>
          <w:lang w:val="en-US"/>
        </w:rPr>
        <w:t xml:space="preserve">es, including knowledge, values ​​and skills needed to achieve the highest academic standards in their subjects or areas of study program. </w:t>
      </w:r>
      <w:r w:rsidR="00E42392" w:rsidRPr="00025BBA">
        <w:rPr>
          <w:lang w:val="en-US"/>
        </w:rPr>
        <w:t>T</w:t>
      </w:r>
      <w:r w:rsidRPr="00025BBA">
        <w:rPr>
          <w:lang w:val="en-US"/>
        </w:rPr>
        <w:t xml:space="preserve">hey should </w:t>
      </w:r>
      <w:r w:rsidR="00E42392" w:rsidRPr="00025BBA">
        <w:rPr>
          <w:lang w:val="en-US"/>
        </w:rPr>
        <w:t xml:space="preserve">also </w:t>
      </w:r>
      <w:r w:rsidRPr="00025BBA">
        <w:rPr>
          <w:lang w:val="en-US"/>
        </w:rPr>
        <w:t>be aware of the theory and practice of education relev</w:t>
      </w:r>
      <w:r w:rsidR="00E42392" w:rsidRPr="00025BBA">
        <w:rPr>
          <w:lang w:val="en-US"/>
        </w:rPr>
        <w:t>ant to the age group they teach, of the</w:t>
      </w:r>
      <w:r w:rsidRPr="00025BBA">
        <w:rPr>
          <w:lang w:val="en-US"/>
        </w:rPr>
        <w:t xml:space="preserve"> national priorities of education, and </w:t>
      </w:r>
      <w:r w:rsidR="00E42392" w:rsidRPr="00025BBA">
        <w:rPr>
          <w:lang w:val="en-US"/>
        </w:rPr>
        <w:t xml:space="preserve">of </w:t>
      </w:r>
      <w:r w:rsidRPr="00025BBA">
        <w:rPr>
          <w:lang w:val="en-US"/>
        </w:rPr>
        <w:t xml:space="preserve">the role of </w:t>
      </w:r>
      <w:r w:rsidR="00E42392" w:rsidRPr="00025BBA">
        <w:rPr>
          <w:lang w:val="en-US"/>
        </w:rPr>
        <w:t>preschool teachers</w:t>
      </w:r>
      <w:r w:rsidRPr="00025BBA">
        <w:rPr>
          <w:lang w:val="en-US"/>
        </w:rPr>
        <w:t xml:space="preserve"> as professionals.</w:t>
      </w:r>
    </w:p>
    <w:p w:rsidR="00A439A8" w:rsidRPr="00025BBA" w:rsidRDefault="00A439A8" w:rsidP="00A439A8">
      <w:pPr>
        <w:ind w:firstLine="360"/>
        <w:rPr>
          <w:lang w:val="en-US" w:eastAsia="en-GB"/>
        </w:rPr>
      </w:pPr>
    </w:p>
    <w:p w:rsidR="00A439A8" w:rsidRPr="00025BBA" w:rsidRDefault="00E42392" w:rsidP="00A439A8">
      <w:pPr>
        <w:rPr>
          <w:b/>
          <w:u w:val="single"/>
          <w:lang w:val="en-US" w:eastAsia="en-GB"/>
        </w:rPr>
      </w:pPr>
      <w:r w:rsidRPr="00025BBA">
        <w:rPr>
          <w:b/>
          <w:u w:val="single"/>
          <w:lang w:val="en-US" w:eastAsia="en-GB"/>
        </w:rPr>
        <w:t>The role and importance of the study program for preschool teachers</w:t>
      </w:r>
    </w:p>
    <w:p w:rsidR="00A439A8" w:rsidRPr="00025BBA" w:rsidRDefault="00A439A8" w:rsidP="00A439A8">
      <w:pPr>
        <w:ind w:firstLine="360"/>
        <w:rPr>
          <w:lang w:val="en-US" w:eastAsia="en-GB"/>
        </w:rPr>
      </w:pPr>
    </w:p>
    <w:p w:rsidR="002A4DAE" w:rsidRPr="00025BBA" w:rsidRDefault="002A4DAE" w:rsidP="00A439A8">
      <w:pPr>
        <w:ind w:firstLine="360"/>
        <w:rPr>
          <w:lang w:val="en-US" w:eastAsia="en-GB"/>
        </w:rPr>
      </w:pPr>
      <w:r w:rsidRPr="00025BBA">
        <w:rPr>
          <w:lang w:val="en-US"/>
        </w:rPr>
        <w:t xml:space="preserve">A study program provides information about what knowledge, skills, values ​​and attitudes should be included in the teaching-scientific process and how it should be done. At the same time, a study program emphasizes the need for cooperation at all levels of </w:t>
      </w:r>
      <w:r w:rsidR="00087DF0" w:rsidRPr="00025BBA">
        <w:rPr>
          <w:lang w:val="en-US"/>
        </w:rPr>
        <w:t xml:space="preserve">staff </w:t>
      </w:r>
      <w:r w:rsidRPr="00025BBA">
        <w:rPr>
          <w:lang w:val="en-US"/>
        </w:rPr>
        <w:t>education.</w:t>
      </w:r>
    </w:p>
    <w:p w:rsidR="002A4DAE" w:rsidRPr="00025BBA" w:rsidRDefault="00087DF0" w:rsidP="00A439A8">
      <w:pPr>
        <w:ind w:firstLine="360"/>
        <w:rPr>
          <w:lang w:val="en-US" w:eastAsia="en-GB"/>
        </w:rPr>
      </w:pPr>
      <w:r w:rsidRPr="00025BBA">
        <w:rPr>
          <w:lang w:val="en-US"/>
        </w:rPr>
        <w:t>S</w:t>
      </w:r>
      <w:r w:rsidR="002A4DAE" w:rsidRPr="00025BBA">
        <w:rPr>
          <w:lang w:val="en-US"/>
        </w:rPr>
        <w:t xml:space="preserve">tudy programs </w:t>
      </w:r>
      <w:r w:rsidRPr="00025BBA">
        <w:rPr>
          <w:lang w:val="en-US"/>
        </w:rPr>
        <w:t>highlight</w:t>
      </w:r>
      <w:r w:rsidR="002A4DAE" w:rsidRPr="00025BBA">
        <w:rPr>
          <w:lang w:val="en-US"/>
        </w:rPr>
        <w:t xml:space="preserve"> all educational content</w:t>
      </w:r>
      <w:r w:rsidRPr="00025BBA">
        <w:rPr>
          <w:lang w:val="en-US"/>
        </w:rPr>
        <w:t>s</w:t>
      </w:r>
      <w:r w:rsidR="002A4DAE" w:rsidRPr="00025BBA">
        <w:rPr>
          <w:lang w:val="en-US"/>
        </w:rPr>
        <w:t xml:space="preserve"> and experiences that society and hig</w:t>
      </w:r>
      <w:r w:rsidRPr="00025BBA">
        <w:rPr>
          <w:lang w:val="en-US"/>
        </w:rPr>
        <w:t>her education institution deem</w:t>
      </w:r>
      <w:r w:rsidR="002A4DAE" w:rsidRPr="00025BBA">
        <w:rPr>
          <w:lang w:val="en-US"/>
        </w:rPr>
        <w:t xml:space="preserve"> valuable and important to be offered to students </w:t>
      </w:r>
      <w:r w:rsidRPr="00025BBA">
        <w:rPr>
          <w:lang w:val="en-US"/>
        </w:rPr>
        <w:t>in the course of</w:t>
      </w:r>
      <w:r w:rsidR="002A4DAE" w:rsidRPr="00025BBA">
        <w:rPr>
          <w:lang w:val="en-US"/>
        </w:rPr>
        <w:t xml:space="preserve"> the educational process. </w:t>
      </w:r>
      <w:r w:rsidRPr="00025BBA">
        <w:rPr>
          <w:lang w:val="en-US"/>
        </w:rPr>
        <w:t>A</w:t>
      </w:r>
      <w:r w:rsidR="002A4DAE" w:rsidRPr="00025BBA">
        <w:rPr>
          <w:lang w:val="en-US"/>
        </w:rPr>
        <w:t xml:space="preserve"> study program aims to articulate different goals and content</w:t>
      </w:r>
      <w:r w:rsidRPr="00025BBA">
        <w:rPr>
          <w:lang w:val="en-US"/>
        </w:rPr>
        <w:t>s</w:t>
      </w:r>
      <w:r w:rsidR="002A4DAE" w:rsidRPr="00025BBA">
        <w:rPr>
          <w:lang w:val="en-US"/>
        </w:rPr>
        <w:t xml:space="preserve">, learning, </w:t>
      </w:r>
      <w:r w:rsidRPr="00025BBA">
        <w:rPr>
          <w:lang w:val="en-US"/>
        </w:rPr>
        <w:t xml:space="preserve">and </w:t>
      </w:r>
      <w:r w:rsidR="002A4DAE" w:rsidRPr="00025BBA">
        <w:rPr>
          <w:lang w:val="en-US"/>
        </w:rPr>
        <w:t xml:space="preserve">methods of </w:t>
      </w:r>
      <w:r w:rsidRPr="00025BBA">
        <w:rPr>
          <w:lang w:val="en-US"/>
        </w:rPr>
        <w:t>e</w:t>
      </w:r>
      <w:r w:rsidR="002A4DAE" w:rsidRPr="00025BBA">
        <w:rPr>
          <w:lang w:val="en-US"/>
        </w:rPr>
        <w:t xml:space="preserve">valuation that are important for the development of </w:t>
      </w:r>
      <w:r w:rsidRPr="00025BBA">
        <w:rPr>
          <w:lang w:val="en-US"/>
        </w:rPr>
        <w:t>an</w:t>
      </w:r>
      <w:r w:rsidR="002A4DAE" w:rsidRPr="00025BBA">
        <w:rPr>
          <w:lang w:val="en-US"/>
        </w:rPr>
        <w:t xml:space="preserve"> individual and </w:t>
      </w:r>
      <w:r w:rsidRPr="00025BBA">
        <w:rPr>
          <w:lang w:val="en-US"/>
        </w:rPr>
        <w:t xml:space="preserve">the </w:t>
      </w:r>
      <w:r w:rsidR="002A4DAE" w:rsidRPr="00025BBA">
        <w:rPr>
          <w:lang w:val="en-US"/>
        </w:rPr>
        <w:t>society.</w:t>
      </w:r>
    </w:p>
    <w:p w:rsidR="00A439A8" w:rsidRPr="00025BBA" w:rsidRDefault="008D6477" w:rsidP="00A439A8">
      <w:pPr>
        <w:ind w:firstLine="360"/>
        <w:rPr>
          <w:lang w:val="en-US" w:eastAsia="en-GB"/>
        </w:rPr>
      </w:pPr>
      <w:r w:rsidRPr="00025BBA">
        <w:rPr>
          <w:lang w:val="en-US"/>
        </w:rPr>
        <w:t>Thus the reaction of the whole social, scientific and professional community, their interests, debates and comments when they discuss reforms in the educational work or changes to curricula is perfectly normal. These are very sensitive issues.</w:t>
      </w:r>
    </w:p>
    <w:p w:rsidR="00A439A8" w:rsidRPr="00025BBA" w:rsidRDefault="008D6477" w:rsidP="00055A8A">
      <w:pPr>
        <w:ind w:firstLine="360"/>
        <w:rPr>
          <w:lang w:val="en-US" w:eastAsia="en-GB"/>
        </w:rPr>
      </w:pPr>
      <w:r w:rsidRPr="00025BBA">
        <w:rPr>
          <w:lang w:val="en-US"/>
        </w:rPr>
        <w:t xml:space="preserve">Therefore it is recommended that the policy of building </w:t>
      </w:r>
      <w:r w:rsidR="00C23DEF" w:rsidRPr="00025BBA">
        <w:rPr>
          <w:lang w:val="en-US"/>
        </w:rPr>
        <w:t xml:space="preserve">a study </w:t>
      </w:r>
      <w:r w:rsidRPr="00025BBA">
        <w:rPr>
          <w:lang w:val="en-US"/>
        </w:rPr>
        <w:t xml:space="preserve">program is based on </w:t>
      </w:r>
      <w:r w:rsidRPr="00025BBA">
        <w:rPr>
          <w:b/>
          <w:lang w:val="en-US"/>
        </w:rPr>
        <w:t>solid foundations</w:t>
      </w:r>
      <w:r w:rsidRPr="00025BBA">
        <w:rPr>
          <w:lang w:val="en-US"/>
        </w:rPr>
        <w:t xml:space="preserve">, but </w:t>
      </w:r>
      <w:r w:rsidR="00C23DEF" w:rsidRPr="00025BBA">
        <w:rPr>
          <w:lang w:val="en-US"/>
        </w:rPr>
        <w:t xml:space="preserve">it </w:t>
      </w:r>
      <w:r w:rsidR="009B79F1" w:rsidRPr="00025BBA">
        <w:rPr>
          <w:lang w:val="en-US"/>
        </w:rPr>
        <w:t>should not be</w:t>
      </w:r>
      <w:r w:rsidR="00C23DEF" w:rsidRPr="00025BBA">
        <w:rPr>
          <w:lang w:val="en-US"/>
        </w:rPr>
        <w:t xml:space="preserve"> </w:t>
      </w:r>
      <w:r w:rsidRPr="00025BBA">
        <w:rPr>
          <w:lang w:val="en-US"/>
        </w:rPr>
        <w:t xml:space="preserve">a </w:t>
      </w:r>
      <w:r w:rsidRPr="00025BBA">
        <w:rPr>
          <w:b/>
          <w:lang w:val="en-US"/>
        </w:rPr>
        <w:t>"fortress"</w:t>
      </w:r>
      <w:r w:rsidRPr="00025BBA">
        <w:rPr>
          <w:lang w:val="en-US"/>
        </w:rPr>
        <w:t xml:space="preserve"> of the educational system</w:t>
      </w:r>
      <w:r w:rsidR="009B79F1" w:rsidRPr="00025BBA">
        <w:rPr>
          <w:lang w:val="en-US"/>
        </w:rPr>
        <w:t>,</w:t>
      </w:r>
      <w:r w:rsidRPr="00025BBA">
        <w:rPr>
          <w:lang w:val="en-US"/>
        </w:rPr>
        <w:t xml:space="preserve"> and change</w:t>
      </w:r>
      <w:r w:rsidR="00C23DEF" w:rsidRPr="00025BBA">
        <w:rPr>
          <w:lang w:val="en-US"/>
        </w:rPr>
        <w:t>s of</w:t>
      </w:r>
      <w:r w:rsidRPr="00025BBA">
        <w:rPr>
          <w:lang w:val="en-US"/>
        </w:rPr>
        <w:t xml:space="preserve"> programs </w:t>
      </w:r>
      <w:r w:rsidR="00C23DEF" w:rsidRPr="00025BBA">
        <w:rPr>
          <w:lang w:val="en-US"/>
        </w:rPr>
        <w:t xml:space="preserve">should be made </w:t>
      </w:r>
      <w:r w:rsidRPr="00025BBA">
        <w:rPr>
          <w:lang w:val="en-US"/>
        </w:rPr>
        <w:t>over an extended period of time</w:t>
      </w:r>
      <w:r w:rsidR="009B79F1" w:rsidRPr="00025BBA">
        <w:rPr>
          <w:lang w:val="en-US"/>
        </w:rPr>
        <w:t xml:space="preserve"> for</w:t>
      </w:r>
      <w:r w:rsidRPr="00025BBA">
        <w:rPr>
          <w:lang w:val="en-US"/>
        </w:rPr>
        <w:t xml:space="preserve"> current generations</w:t>
      </w:r>
      <w:r w:rsidR="009B79F1" w:rsidRPr="00025BBA">
        <w:rPr>
          <w:lang w:val="en-US"/>
        </w:rPr>
        <w:t>,</w:t>
      </w:r>
      <w:r w:rsidRPr="00025BBA">
        <w:rPr>
          <w:lang w:val="en-US"/>
        </w:rPr>
        <w:t xml:space="preserve"> but </w:t>
      </w:r>
      <w:r w:rsidR="006A52B1" w:rsidRPr="00025BBA">
        <w:rPr>
          <w:lang w:val="en-US"/>
        </w:rPr>
        <w:t xml:space="preserve">there has to be </w:t>
      </w:r>
      <w:r w:rsidRPr="00025BBA">
        <w:rPr>
          <w:lang w:val="en-US"/>
        </w:rPr>
        <w:t xml:space="preserve">a vision for future generations </w:t>
      </w:r>
      <w:r w:rsidR="006A52B1" w:rsidRPr="00025BBA">
        <w:rPr>
          <w:lang w:val="en-US"/>
        </w:rPr>
        <w:t>–</w:t>
      </w:r>
      <w:r w:rsidRPr="00025BBA">
        <w:rPr>
          <w:lang w:val="en-US"/>
        </w:rPr>
        <w:t xml:space="preserve"> </w:t>
      </w:r>
      <w:r w:rsidR="006A52B1" w:rsidRPr="00025BBA">
        <w:rPr>
          <w:lang w:val="en-US"/>
        </w:rPr>
        <w:t xml:space="preserve">for </w:t>
      </w:r>
      <w:r w:rsidRPr="00025BBA">
        <w:rPr>
          <w:lang w:val="en-US"/>
        </w:rPr>
        <w:t xml:space="preserve">hundreds of thousands of students - and it is quite certain that </w:t>
      </w:r>
      <w:r w:rsidR="006A52B1" w:rsidRPr="00025BBA">
        <w:rPr>
          <w:lang w:val="en-US"/>
        </w:rPr>
        <w:t>i</w:t>
      </w:r>
      <w:r w:rsidRPr="00025BBA">
        <w:rPr>
          <w:lang w:val="en-US"/>
        </w:rPr>
        <w:t xml:space="preserve"> and possible failures can </w:t>
      </w:r>
      <w:r w:rsidR="006A52B1" w:rsidRPr="00025BBA">
        <w:rPr>
          <w:lang w:val="en-US"/>
        </w:rPr>
        <w:t>cause</w:t>
      </w:r>
      <w:r w:rsidRPr="00025BBA">
        <w:rPr>
          <w:lang w:val="en-US"/>
        </w:rPr>
        <w:t xml:space="preserve"> serious and unpredictable consequences for </w:t>
      </w:r>
      <w:r w:rsidR="006A52B1" w:rsidRPr="00025BBA">
        <w:rPr>
          <w:lang w:val="en-US"/>
        </w:rPr>
        <w:t xml:space="preserve">the </w:t>
      </w:r>
      <w:r w:rsidRPr="00025BBA">
        <w:rPr>
          <w:lang w:val="en-US"/>
        </w:rPr>
        <w:t xml:space="preserve">society as a whole and </w:t>
      </w:r>
      <w:r w:rsidR="006A52B1" w:rsidRPr="00025BBA">
        <w:rPr>
          <w:lang w:val="en-US"/>
        </w:rPr>
        <w:t xml:space="preserve">for </w:t>
      </w:r>
      <w:r w:rsidRPr="00025BBA">
        <w:rPr>
          <w:lang w:val="en-US"/>
        </w:rPr>
        <w:t xml:space="preserve">each of its </w:t>
      </w:r>
      <w:r w:rsidR="006A52B1" w:rsidRPr="00025BBA">
        <w:rPr>
          <w:lang w:val="en-US"/>
        </w:rPr>
        <w:t xml:space="preserve">individual </w:t>
      </w:r>
      <w:r w:rsidRPr="00025BBA">
        <w:rPr>
          <w:lang w:val="en-US"/>
        </w:rPr>
        <w:t xml:space="preserve">members. The essence is to build a </w:t>
      </w:r>
      <w:r w:rsidRPr="00025BBA">
        <w:rPr>
          <w:b/>
          <w:lang w:val="en-US"/>
        </w:rPr>
        <w:t>study program</w:t>
      </w:r>
      <w:r w:rsidRPr="00025BBA">
        <w:rPr>
          <w:lang w:val="en-US"/>
        </w:rPr>
        <w:t xml:space="preserve"> or </w:t>
      </w:r>
      <w:r w:rsidRPr="00025BBA">
        <w:rPr>
          <w:b/>
          <w:lang w:val="en-US"/>
        </w:rPr>
        <w:t>curriculum</w:t>
      </w:r>
      <w:r w:rsidR="00A439A8" w:rsidRPr="00025BBA">
        <w:rPr>
          <w:vertAlign w:val="superscript"/>
          <w:lang w:val="en-US" w:eastAsia="en-GB"/>
        </w:rPr>
        <w:footnoteReference w:id="3"/>
      </w:r>
      <w:r w:rsidR="00A439A8" w:rsidRPr="00025BBA">
        <w:rPr>
          <w:lang w:val="en-US" w:eastAsia="en-GB"/>
        </w:rPr>
        <w:t xml:space="preserve"> </w:t>
      </w:r>
      <w:r w:rsidR="00055A8A" w:rsidRPr="00025BBA">
        <w:rPr>
          <w:lang w:val="en-US"/>
        </w:rPr>
        <w:t>that will be an instrument and a doctrine for achieving those goals that will primarily be in accordance with man.</w:t>
      </w:r>
    </w:p>
    <w:p w:rsidR="00A439A8" w:rsidRPr="00025BBA" w:rsidRDefault="00055A8A" w:rsidP="00A439A8">
      <w:pPr>
        <w:ind w:firstLine="360"/>
        <w:rPr>
          <w:lang w:val="en-US" w:eastAsia="en-GB"/>
        </w:rPr>
      </w:pPr>
      <w:r w:rsidRPr="00025BBA">
        <w:rPr>
          <w:b/>
          <w:u w:val="single"/>
          <w:lang w:val="en-US" w:eastAsia="en-GB"/>
        </w:rPr>
        <w:t xml:space="preserve">What in fact is a study program? – </w:t>
      </w:r>
      <w:r w:rsidRPr="00025BBA">
        <w:rPr>
          <w:lang w:val="en-US" w:eastAsia="en-GB"/>
        </w:rPr>
        <w:t>“A study program” is a sum of relatively connected teaching subjects or other teaching units (modules and other teaching contents) belonging to one area of study with which a student acquires a qualification enabling him/her to practice some profession or to continue his/her studies</w:t>
      </w:r>
      <w:r w:rsidR="00A439A8" w:rsidRPr="00025BBA">
        <w:rPr>
          <w:lang w:val="en-US" w:eastAsia="en-GB"/>
        </w:rPr>
        <w:t>.</w:t>
      </w:r>
      <w:r w:rsidR="00A439A8" w:rsidRPr="00025BBA">
        <w:rPr>
          <w:vertAlign w:val="superscript"/>
          <w:lang w:val="en-US" w:eastAsia="en-GB"/>
        </w:rPr>
        <w:footnoteReference w:id="4"/>
      </w:r>
    </w:p>
    <w:p w:rsidR="00A439A8" w:rsidRPr="00025BBA" w:rsidRDefault="00B32347" w:rsidP="00A439A8">
      <w:pPr>
        <w:ind w:firstLine="360"/>
        <w:rPr>
          <w:lang w:val="en-US" w:eastAsia="en-GB"/>
        </w:rPr>
      </w:pPr>
      <w:r w:rsidRPr="00025BBA">
        <w:rPr>
          <w:lang w:val="en-US"/>
        </w:rPr>
        <w:t>"Study area" is one of 22 areas defined in ISCED classification of study areas according to UNESCO</w:t>
      </w:r>
      <w:r w:rsidR="00A439A8" w:rsidRPr="00025BBA">
        <w:rPr>
          <w:lang w:val="en-US" w:eastAsia="en-GB"/>
        </w:rPr>
        <w:t>.</w:t>
      </w:r>
      <w:r w:rsidR="00A439A8" w:rsidRPr="00025BBA">
        <w:rPr>
          <w:vertAlign w:val="superscript"/>
          <w:lang w:val="en-US" w:eastAsia="en-GB"/>
        </w:rPr>
        <w:footnoteReference w:id="5"/>
      </w:r>
    </w:p>
    <w:p w:rsidR="00A439A8" w:rsidRPr="00025BBA" w:rsidRDefault="00B53DA7" w:rsidP="00B53DA7">
      <w:pPr>
        <w:ind w:firstLine="360"/>
        <w:rPr>
          <w:lang w:val="en-US"/>
        </w:rPr>
      </w:pPr>
      <w:r w:rsidRPr="00025BBA">
        <w:rPr>
          <w:lang w:val="en-US"/>
        </w:rPr>
        <w:t xml:space="preserve">The study program for the education of preschool teachers must be in tune with the dynamics of the European and international education. On the internal plan, the institution which educates preschool teachers should take care of the legal regulations and the specificity of education in their country. At European level, the study program should be aligned and </w:t>
      </w:r>
      <w:r w:rsidRPr="00025BBA">
        <w:rPr>
          <w:lang w:val="en-US"/>
        </w:rPr>
        <w:lastRenderedPageBreak/>
        <w:t xml:space="preserve">harmonized with the requirements of the </w:t>
      </w:r>
      <w:r w:rsidRPr="00025BBA">
        <w:rPr>
          <w:b/>
          <w:lang w:val="en-US"/>
        </w:rPr>
        <w:t>Bologna Declaration</w:t>
      </w:r>
      <w:r w:rsidR="00A439A8" w:rsidRPr="00025BBA">
        <w:rPr>
          <w:b/>
          <w:vertAlign w:val="superscript"/>
          <w:lang w:val="en-US" w:eastAsia="en-GB"/>
        </w:rPr>
        <w:footnoteReference w:id="6"/>
      </w:r>
      <w:r w:rsidR="00A439A8" w:rsidRPr="00025BBA">
        <w:rPr>
          <w:lang w:val="en-US" w:eastAsia="en-GB"/>
        </w:rPr>
        <w:t xml:space="preserve"> </w:t>
      </w:r>
      <w:r w:rsidRPr="00025BBA">
        <w:rPr>
          <w:lang w:val="en-US"/>
        </w:rPr>
        <w:t xml:space="preserve">concerning higher education and the principles of the </w:t>
      </w:r>
      <w:r w:rsidRPr="00025BBA">
        <w:rPr>
          <w:b/>
          <w:lang w:val="en-US"/>
        </w:rPr>
        <w:t>Lisbon conference</w:t>
      </w:r>
      <w:r w:rsidR="00A439A8" w:rsidRPr="00025BBA">
        <w:rPr>
          <w:b/>
          <w:vertAlign w:val="superscript"/>
          <w:lang w:val="en-US" w:eastAsia="en-GB"/>
        </w:rPr>
        <w:footnoteReference w:id="7"/>
      </w:r>
      <w:r w:rsidR="00A439A8" w:rsidRPr="00025BBA">
        <w:rPr>
          <w:lang w:val="en-US" w:eastAsia="en-GB"/>
        </w:rPr>
        <w:t xml:space="preserve"> </w:t>
      </w:r>
      <w:r w:rsidRPr="00025BBA">
        <w:rPr>
          <w:lang w:val="en-US"/>
        </w:rPr>
        <w:t xml:space="preserve">on lifelong learning. </w:t>
      </w:r>
    </w:p>
    <w:p w:rsidR="00A3550C" w:rsidRPr="00025BBA" w:rsidRDefault="00A3550C" w:rsidP="00B53DA7">
      <w:pPr>
        <w:ind w:firstLine="360"/>
        <w:rPr>
          <w:lang w:val="en-US"/>
        </w:rPr>
      </w:pPr>
      <w:r w:rsidRPr="00025BBA">
        <w:rPr>
          <w:lang w:val="en-US"/>
        </w:rPr>
        <w:t xml:space="preserve">The objectives of the study program for the education of preschool teachers must be specified through the achievements of students and their skills and competences: (1) knowledge (which they learned and understand), (2) practical competences (what they know and can do), i.e. it must move from the so-called </w:t>
      </w:r>
      <w:r w:rsidRPr="00025BBA">
        <w:rPr>
          <w:b/>
          <w:lang w:val="en-US"/>
        </w:rPr>
        <w:t>input</w:t>
      </w:r>
      <w:r w:rsidRPr="00025BBA">
        <w:rPr>
          <w:lang w:val="en-US"/>
        </w:rPr>
        <w:t xml:space="preserve"> - oriented study program (defined by what the professor teaches) to the so-called </w:t>
      </w:r>
      <w:r w:rsidRPr="00025BBA">
        <w:rPr>
          <w:b/>
          <w:lang w:val="en-US"/>
        </w:rPr>
        <w:t>output</w:t>
      </w:r>
      <w:r w:rsidRPr="00025BBA">
        <w:rPr>
          <w:lang w:val="en-US"/>
        </w:rPr>
        <w:t xml:space="preserve"> - oriented program (defined by the skills and competences acquired by students).</w:t>
      </w:r>
    </w:p>
    <w:p w:rsidR="00A439A8" w:rsidRPr="00025BBA" w:rsidRDefault="006F2DD2" w:rsidP="006F2DD2">
      <w:pPr>
        <w:ind w:firstLine="360"/>
        <w:rPr>
          <w:lang w:val="en-US" w:eastAsia="en-GB"/>
        </w:rPr>
      </w:pPr>
      <w:r w:rsidRPr="00025BBA">
        <w:rPr>
          <w:lang w:val="en-US"/>
        </w:rPr>
        <w:t>The definition of students’ achievements and competences (learning outcomes and competences) as reference points when designing a study program is the primary tool used in order to be involved in the European area of higher education at an equal level.</w:t>
      </w:r>
      <w:r w:rsidR="00A439A8" w:rsidRPr="00025BBA">
        <w:rPr>
          <w:vertAlign w:val="superscript"/>
          <w:lang w:val="en-US" w:eastAsia="en-GB"/>
        </w:rPr>
        <w:footnoteReference w:id="8"/>
      </w:r>
    </w:p>
    <w:p w:rsidR="00AF74E1" w:rsidRPr="00025BBA" w:rsidRDefault="006F2DD2" w:rsidP="006F2DD2">
      <w:pPr>
        <w:ind w:firstLine="360"/>
        <w:rPr>
          <w:b/>
          <w:u w:val="single"/>
          <w:lang w:val="en-US" w:eastAsia="en-GB"/>
        </w:rPr>
      </w:pPr>
      <w:r w:rsidRPr="00025BBA">
        <w:rPr>
          <w:b/>
          <w:u w:val="single"/>
          <w:lang w:val="en-US" w:eastAsia="en-GB"/>
        </w:rPr>
        <w:t xml:space="preserve">The </w:t>
      </w:r>
      <w:r w:rsidRPr="00025BBA">
        <w:rPr>
          <w:b/>
          <w:u w:val="single"/>
          <w:lang w:val="en-US"/>
        </w:rPr>
        <w:t>key steps in the process of designing a study program</w:t>
      </w:r>
      <w:r w:rsidRPr="00025BBA">
        <w:rPr>
          <w:lang w:val="en-US"/>
        </w:rPr>
        <w:t xml:space="preserve"> - the process of designing a study program should follow these main stages:</w:t>
      </w:r>
      <w:r w:rsidR="00AF74E1" w:rsidRPr="00025BBA">
        <w:rPr>
          <w:vertAlign w:val="superscript"/>
          <w:lang w:val="en-US" w:eastAsia="en-GB"/>
        </w:rPr>
        <w:footnoteReference w:id="9"/>
      </w:r>
    </w:p>
    <w:p w:rsidR="00AF74E1" w:rsidRPr="00025BBA" w:rsidRDefault="00AF74E1" w:rsidP="00AF74E1">
      <w:pPr>
        <w:ind w:firstLine="360"/>
        <w:rPr>
          <w:lang w:val="en-US" w:eastAsia="en-GB"/>
        </w:rPr>
      </w:pPr>
    </w:p>
    <w:p w:rsidR="006F2DD2" w:rsidRPr="00025BBA" w:rsidRDefault="00E3104A" w:rsidP="00AF74E1">
      <w:pPr>
        <w:ind w:firstLine="360"/>
        <w:rPr>
          <w:lang w:val="en-US" w:eastAsia="en-GB"/>
        </w:rPr>
      </w:pPr>
      <w:r w:rsidRPr="00025BBA">
        <w:rPr>
          <w:b/>
          <w:u w:val="single"/>
          <w:lang w:val="en-US"/>
        </w:rPr>
        <w:t>Meeting the</w:t>
      </w:r>
      <w:r w:rsidR="006F2DD2" w:rsidRPr="00025BBA">
        <w:rPr>
          <w:b/>
          <w:u w:val="single"/>
          <w:lang w:val="en-US"/>
        </w:rPr>
        <w:t xml:space="preserve"> basic requirements </w:t>
      </w:r>
      <w:r w:rsidR="006F2DD2" w:rsidRPr="00025BBA">
        <w:rPr>
          <w:lang w:val="en-US"/>
        </w:rPr>
        <w:t>- (1)</w:t>
      </w:r>
      <w:r w:rsidRPr="00025BBA">
        <w:rPr>
          <w:lang w:val="en-US"/>
        </w:rPr>
        <w:t xml:space="preserve"> Have the </w:t>
      </w:r>
      <w:r w:rsidR="006F2DD2" w:rsidRPr="00025BBA">
        <w:rPr>
          <w:lang w:val="en-US"/>
        </w:rPr>
        <w:t xml:space="preserve">social needs of the study program </w:t>
      </w:r>
      <w:r w:rsidRPr="00025BBA">
        <w:rPr>
          <w:lang w:val="en-US"/>
        </w:rPr>
        <w:t>at</w:t>
      </w:r>
      <w:r w:rsidR="00025BBA" w:rsidRPr="00025BBA">
        <w:rPr>
          <w:lang w:val="en-US"/>
        </w:rPr>
        <w:t xml:space="preserve"> regional/national/</w:t>
      </w:r>
      <w:r w:rsidR="006F2DD2" w:rsidRPr="00025BBA">
        <w:rPr>
          <w:lang w:val="en-US"/>
        </w:rPr>
        <w:t>European level</w:t>
      </w:r>
      <w:r w:rsidRPr="00025BBA">
        <w:rPr>
          <w:lang w:val="en-US"/>
        </w:rPr>
        <w:t xml:space="preserve"> been determined</w:t>
      </w:r>
      <w:r w:rsidR="006F2DD2" w:rsidRPr="00025BBA">
        <w:rPr>
          <w:lang w:val="en-US"/>
        </w:rPr>
        <w:t xml:space="preserve">? </w:t>
      </w:r>
      <w:r w:rsidRPr="00025BBA">
        <w:rPr>
          <w:lang w:val="en-US"/>
        </w:rPr>
        <w:t>Has</w:t>
      </w:r>
      <w:r w:rsidR="006F2DD2" w:rsidRPr="00025BBA">
        <w:rPr>
          <w:lang w:val="en-US"/>
        </w:rPr>
        <w:t xml:space="preserve"> </w:t>
      </w:r>
      <w:r w:rsidRPr="00025BBA">
        <w:rPr>
          <w:lang w:val="en-US"/>
        </w:rPr>
        <w:t>this</w:t>
      </w:r>
      <w:r w:rsidR="006F2DD2" w:rsidRPr="00025BBA">
        <w:rPr>
          <w:lang w:val="en-US"/>
        </w:rPr>
        <w:t xml:space="preserve"> </w:t>
      </w:r>
      <w:r w:rsidRPr="00025BBA">
        <w:rPr>
          <w:lang w:val="en-US"/>
        </w:rPr>
        <w:t xml:space="preserve">been </w:t>
      </w:r>
      <w:r w:rsidR="006F2DD2" w:rsidRPr="00025BBA">
        <w:rPr>
          <w:lang w:val="en-US"/>
        </w:rPr>
        <w:t xml:space="preserve">done </w:t>
      </w:r>
      <w:r w:rsidRPr="00025BBA">
        <w:rPr>
          <w:lang w:val="en-US"/>
        </w:rPr>
        <w:t>based</w:t>
      </w:r>
      <w:r w:rsidR="006F2DD2" w:rsidRPr="00025BBA">
        <w:rPr>
          <w:lang w:val="en-US"/>
        </w:rPr>
        <w:t xml:space="preserve"> </w:t>
      </w:r>
      <w:r w:rsidRPr="00025BBA">
        <w:rPr>
          <w:lang w:val="en-US"/>
        </w:rPr>
        <w:t>on</w:t>
      </w:r>
      <w:r w:rsidR="006F2DD2" w:rsidRPr="00025BBA">
        <w:rPr>
          <w:lang w:val="en-US"/>
        </w:rPr>
        <w:t xml:space="preserve"> consultation</w:t>
      </w:r>
      <w:r w:rsidRPr="00025BBA">
        <w:rPr>
          <w:lang w:val="en-US"/>
        </w:rPr>
        <w:t>s</w:t>
      </w:r>
      <w:r w:rsidR="006F2DD2" w:rsidRPr="00025BBA">
        <w:rPr>
          <w:lang w:val="en-US"/>
        </w:rPr>
        <w:t xml:space="preserve"> with </w:t>
      </w:r>
      <w:r w:rsidRPr="00025BBA">
        <w:rPr>
          <w:lang w:val="en-US"/>
        </w:rPr>
        <w:t>the main factors</w:t>
      </w:r>
      <w:r w:rsidR="006F2DD2" w:rsidRPr="00025BBA">
        <w:rPr>
          <w:lang w:val="en-US"/>
        </w:rPr>
        <w:t xml:space="preserve">: employers, professionals and professional bodies? (2) </w:t>
      </w:r>
      <w:r w:rsidRPr="00025BBA">
        <w:rPr>
          <w:lang w:val="en-US"/>
        </w:rPr>
        <w:t>Is</w:t>
      </w:r>
      <w:r w:rsidR="006F2DD2" w:rsidRPr="00025BBA">
        <w:rPr>
          <w:lang w:val="en-US"/>
        </w:rPr>
        <w:t xml:space="preserve"> the study program sufficiently interesting from an academic point of view? (3) Have </w:t>
      </w:r>
      <w:r w:rsidRPr="00025BBA">
        <w:rPr>
          <w:lang w:val="en-US"/>
        </w:rPr>
        <w:t xml:space="preserve">the </w:t>
      </w:r>
      <w:r w:rsidR="006F2DD2" w:rsidRPr="00025BBA">
        <w:rPr>
          <w:lang w:val="en-US"/>
        </w:rPr>
        <w:t>common reference points</w:t>
      </w:r>
      <w:r w:rsidRPr="00025BBA">
        <w:rPr>
          <w:lang w:val="en-US"/>
        </w:rPr>
        <w:t xml:space="preserve"> been established</w:t>
      </w:r>
      <w:r w:rsidR="006F2DD2" w:rsidRPr="00025BBA">
        <w:rPr>
          <w:lang w:val="en-US"/>
        </w:rPr>
        <w:t>?</w:t>
      </w:r>
    </w:p>
    <w:p w:rsidR="00AF74E1" w:rsidRPr="00025BBA" w:rsidRDefault="00557DF6" w:rsidP="00AF74E1">
      <w:pPr>
        <w:ind w:firstLine="360"/>
        <w:rPr>
          <w:lang w:val="en-US" w:eastAsia="en-GB"/>
        </w:rPr>
      </w:pPr>
      <w:r w:rsidRPr="00025BBA">
        <w:rPr>
          <w:lang w:val="en-US"/>
        </w:rPr>
        <w:t>Are the resources needed for the program available at or (if necessary) outside the (partner) relevant institutions?</w:t>
      </w:r>
    </w:p>
    <w:p w:rsidR="00AF74E1" w:rsidRPr="00025BBA" w:rsidRDefault="00AF74E1" w:rsidP="00AF74E1">
      <w:pPr>
        <w:ind w:firstLine="360"/>
        <w:rPr>
          <w:lang w:val="en-US" w:eastAsia="en-GB"/>
        </w:rPr>
      </w:pPr>
    </w:p>
    <w:p w:rsidR="00557DF6" w:rsidRPr="00025BBA" w:rsidRDefault="00557DF6" w:rsidP="00AF74E1">
      <w:pPr>
        <w:ind w:firstLine="360"/>
        <w:rPr>
          <w:lang w:val="en-US" w:eastAsia="en-GB"/>
        </w:rPr>
      </w:pPr>
      <w:r w:rsidRPr="00025BBA">
        <w:rPr>
          <w:b/>
          <w:u w:val="single"/>
          <w:lang w:val="en-US"/>
        </w:rPr>
        <w:t>For international undergraduate studies</w:t>
      </w:r>
      <w:r w:rsidRPr="00025BBA">
        <w:rPr>
          <w:lang w:val="en-US"/>
        </w:rPr>
        <w:t xml:space="preserve"> </w:t>
      </w:r>
      <w:r w:rsidR="00025BBA" w:rsidRPr="00025BBA">
        <w:rPr>
          <w:lang w:val="en-US"/>
        </w:rPr>
        <w:t xml:space="preserve">that are </w:t>
      </w:r>
      <w:r w:rsidRPr="00025BBA">
        <w:rPr>
          <w:lang w:val="en-US"/>
        </w:rPr>
        <w:t>offer</w:t>
      </w:r>
      <w:r w:rsidR="00025BBA" w:rsidRPr="00025BBA">
        <w:rPr>
          <w:lang w:val="en-US"/>
        </w:rPr>
        <w:t>ed by</w:t>
      </w:r>
      <w:r w:rsidRPr="00025BBA">
        <w:rPr>
          <w:lang w:val="en-US"/>
        </w:rPr>
        <w:t xml:space="preserve"> more than one institution - (1) </w:t>
      </w:r>
      <w:r w:rsidR="00025BBA" w:rsidRPr="00025BBA">
        <w:rPr>
          <w:lang w:val="en-US"/>
        </w:rPr>
        <w:t xml:space="preserve">Are the relevant institutions </w:t>
      </w:r>
      <w:r w:rsidRPr="00025BBA">
        <w:rPr>
          <w:lang w:val="en-US"/>
        </w:rPr>
        <w:t>commit</w:t>
      </w:r>
      <w:r w:rsidR="00025BBA" w:rsidRPr="00025BBA">
        <w:rPr>
          <w:lang w:val="en-US"/>
        </w:rPr>
        <w:t>ted?</w:t>
      </w:r>
      <w:r w:rsidRPr="00025BBA">
        <w:rPr>
          <w:lang w:val="en-US"/>
        </w:rPr>
        <w:t xml:space="preserve"> </w:t>
      </w:r>
      <w:r w:rsidR="00025BBA">
        <w:rPr>
          <w:lang w:val="en-US"/>
        </w:rPr>
        <w:t>At what foundation</w:t>
      </w:r>
      <w:r w:rsidRPr="00025BBA">
        <w:rPr>
          <w:lang w:val="en-US"/>
        </w:rPr>
        <w:t xml:space="preserve">: a formal agreement or strategic alliance? (2) </w:t>
      </w:r>
      <w:r w:rsidR="00025BBA">
        <w:rPr>
          <w:lang w:val="en-US"/>
        </w:rPr>
        <w:t>Are</w:t>
      </w:r>
      <w:r w:rsidRPr="00025BBA">
        <w:rPr>
          <w:lang w:val="en-US"/>
        </w:rPr>
        <w:t xml:space="preserve"> there sufficient guarantees that the program will be conducted legally in different countries? (3) Is there agreement </w:t>
      </w:r>
      <w:r w:rsidR="00025BBA">
        <w:rPr>
          <w:lang w:val="en-US"/>
        </w:rPr>
        <w:t xml:space="preserve">about designing </w:t>
      </w:r>
      <w:r w:rsidRPr="00025BBA">
        <w:rPr>
          <w:lang w:val="en-US"/>
        </w:rPr>
        <w:t xml:space="preserve">the duration of the program in </w:t>
      </w:r>
      <w:r w:rsidR="00025BBA">
        <w:rPr>
          <w:lang w:val="en-US"/>
        </w:rPr>
        <w:t xml:space="preserve">such </w:t>
      </w:r>
      <w:r w:rsidRPr="00025BBA">
        <w:rPr>
          <w:lang w:val="en-US"/>
        </w:rPr>
        <w:t xml:space="preserve">a manner that </w:t>
      </w:r>
      <w:r w:rsidR="00025BBA">
        <w:rPr>
          <w:lang w:val="en-US"/>
        </w:rPr>
        <w:t xml:space="preserve">it </w:t>
      </w:r>
      <w:r w:rsidRPr="00025BBA">
        <w:rPr>
          <w:lang w:val="en-US"/>
        </w:rPr>
        <w:t xml:space="preserve">will comply with ECTS which </w:t>
      </w:r>
      <w:r w:rsidR="00025BBA">
        <w:rPr>
          <w:lang w:val="en-US"/>
        </w:rPr>
        <w:t xml:space="preserve">is based on </w:t>
      </w:r>
      <w:r w:rsidRPr="00025BBA">
        <w:rPr>
          <w:lang w:val="en-US"/>
        </w:rPr>
        <w:t>student</w:t>
      </w:r>
      <w:r w:rsidR="00025BBA">
        <w:rPr>
          <w:lang w:val="en-US"/>
        </w:rPr>
        <w:t xml:space="preserve"> load</w:t>
      </w:r>
      <w:r w:rsidRPr="00025BBA">
        <w:rPr>
          <w:lang w:val="en-US"/>
        </w:rPr>
        <w:t>?</w:t>
      </w:r>
    </w:p>
    <w:p w:rsidR="00AF74E1" w:rsidRDefault="00AF74E1" w:rsidP="00687F1B">
      <w:pPr>
        <w:ind w:firstLine="360"/>
        <w:rPr>
          <w:lang w:val="en-US" w:eastAsia="en-GB"/>
        </w:rPr>
      </w:pPr>
      <w:r w:rsidRPr="00025BBA">
        <w:rPr>
          <w:lang w:val="en-US" w:eastAsia="en-GB"/>
        </w:rPr>
        <w:t xml:space="preserve"> </w:t>
      </w:r>
    </w:p>
    <w:p w:rsidR="00687F1B" w:rsidRPr="00025BBA" w:rsidRDefault="00687F1B" w:rsidP="00687F1B">
      <w:pPr>
        <w:ind w:firstLine="360"/>
        <w:rPr>
          <w:lang w:val="en-US" w:eastAsia="en-GB"/>
        </w:rPr>
      </w:pPr>
    </w:p>
    <w:p w:rsidR="00AF74E1" w:rsidRPr="00025BBA" w:rsidRDefault="006F5EC6" w:rsidP="00C44118">
      <w:pPr>
        <w:pStyle w:val="ListParagraph"/>
        <w:ind w:left="1080"/>
        <w:rPr>
          <w:b/>
          <w:u w:val="single"/>
          <w:lang w:val="en-US"/>
        </w:rPr>
      </w:pPr>
      <w:r>
        <w:rPr>
          <w:b/>
          <w:u w:val="single"/>
          <w:lang w:val="en-US"/>
        </w:rPr>
        <w:t xml:space="preserve">Table.1. </w:t>
      </w:r>
      <w:r w:rsidR="00C44118" w:rsidRPr="00025BBA">
        <w:rPr>
          <w:b/>
          <w:u w:val="single"/>
          <w:lang w:val="en-US"/>
        </w:rPr>
        <w:t>Hierarchy of designing a study program</w:t>
      </w:r>
    </w:p>
    <w:p w:rsidR="00C44118" w:rsidRPr="00025BBA" w:rsidRDefault="00C44118" w:rsidP="00AF74E1">
      <w:pPr>
        <w:pStyle w:val="ListParagraph"/>
        <w:ind w:left="1080"/>
        <w:rPr>
          <w:b/>
          <w:lang w:val="en-US"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4958"/>
      </w:tblGrid>
      <w:tr w:rsidR="00AF74E1" w:rsidRPr="00025BBA" w:rsidTr="0031508C">
        <w:tc>
          <w:tcPr>
            <w:tcW w:w="0" w:type="auto"/>
            <w:tcBorders>
              <w:top w:val="single" w:sz="12" w:space="0" w:color="auto"/>
              <w:left w:val="single" w:sz="12" w:space="0" w:color="auto"/>
              <w:bottom w:val="single" w:sz="12" w:space="0" w:color="auto"/>
              <w:right w:val="single" w:sz="4" w:space="0" w:color="auto"/>
            </w:tcBorders>
            <w:shd w:val="pct10" w:color="auto" w:fill="auto"/>
            <w:vAlign w:val="center"/>
            <w:hideMark/>
          </w:tcPr>
          <w:p w:rsidR="0031508C" w:rsidRPr="00025BBA" w:rsidRDefault="00C44118" w:rsidP="00C44118">
            <w:pPr>
              <w:jc w:val="center"/>
              <w:rPr>
                <w:rFonts w:eastAsia="Calibri"/>
                <w:b/>
                <w:lang w:val="en-US"/>
              </w:rPr>
            </w:pPr>
            <w:r w:rsidRPr="00025BBA">
              <w:rPr>
                <w:rFonts w:eastAsia="Calibri"/>
                <w:b/>
                <w:lang w:val="en-US"/>
              </w:rPr>
              <w:lastRenderedPageBreak/>
              <w:t>CONTEXT</w:t>
            </w:r>
          </w:p>
        </w:tc>
        <w:tc>
          <w:tcPr>
            <w:tcW w:w="4958" w:type="dxa"/>
            <w:tcBorders>
              <w:top w:val="single" w:sz="12" w:space="0" w:color="auto"/>
              <w:left w:val="single" w:sz="4" w:space="0" w:color="auto"/>
              <w:bottom w:val="single" w:sz="12" w:space="0" w:color="auto"/>
              <w:right w:val="single" w:sz="12" w:space="0" w:color="auto"/>
            </w:tcBorders>
            <w:shd w:val="pct10" w:color="auto" w:fill="auto"/>
            <w:vAlign w:val="center"/>
            <w:hideMark/>
          </w:tcPr>
          <w:p w:rsidR="0031508C" w:rsidRPr="00025BBA" w:rsidRDefault="00C44118" w:rsidP="00C44118">
            <w:pPr>
              <w:jc w:val="center"/>
              <w:rPr>
                <w:rFonts w:eastAsia="Calibri"/>
                <w:b/>
                <w:lang w:val="en-US"/>
              </w:rPr>
            </w:pPr>
            <w:r w:rsidRPr="00025BBA">
              <w:rPr>
                <w:rFonts w:eastAsia="Calibri"/>
                <w:b/>
                <w:lang w:val="en-US"/>
              </w:rPr>
              <w:t>INFLUENCE</w:t>
            </w:r>
          </w:p>
        </w:tc>
      </w:tr>
      <w:tr w:rsidR="00AF74E1" w:rsidRPr="00025BBA" w:rsidTr="0031508C">
        <w:tc>
          <w:tcPr>
            <w:tcW w:w="0" w:type="auto"/>
            <w:tcBorders>
              <w:top w:val="single" w:sz="12" w:space="0" w:color="auto"/>
              <w:left w:val="single" w:sz="12" w:space="0" w:color="auto"/>
              <w:bottom w:val="single" w:sz="4" w:space="0" w:color="auto"/>
              <w:right w:val="single" w:sz="4" w:space="0" w:color="auto"/>
            </w:tcBorders>
            <w:vAlign w:val="center"/>
          </w:tcPr>
          <w:p w:rsidR="0031508C" w:rsidRPr="00025BBA" w:rsidRDefault="00185C4F" w:rsidP="00AF74E1">
            <w:pPr>
              <w:jc w:val="center"/>
              <w:rPr>
                <w:rFonts w:eastAsia="Calibri"/>
                <w:b/>
                <w:sz w:val="20"/>
                <w:szCs w:val="20"/>
                <w:lang w:val="en-US"/>
              </w:rPr>
            </w:pPr>
            <w:r w:rsidRPr="00025BBA">
              <w:rPr>
                <w:b/>
                <w:lang w:val="en-US"/>
              </w:rPr>
              <w:t>Philosophy of the study program</w:t>
            </w:r>
          </w:p>
        </w:tc>
        <w:tc>
          <w:tcPr>
            <w:tcW w:w="4958" w:type="dxa"/>
            <w:tcBorders>
              <w:top w:val="single" w:sz="12" w:space="0" w:color="auto"/>
              <w:left w:val="single" w:sz="4" w:space="0" w:color="auto"/>
              <w:bottom w:val="single" w:sz="4" w:space="0" w:color="auto"/>
              <w:right w:val="single" w:sz="12" w:space="0" w:color="auto"/>
            </w:tcBorders>
            <w:vAlign w:val="center"/>
            <w:hideMark/>
          </w:tcPr>
          <w:p w:rsidR="0031508C" w:rsidRPr="00025BBA" w:rsidRDefault="008F70C0" w:rsidP="00185C4F">
            <w:pPr>
              <w:jc w:val="center"/>
              <w:rPr>
                <w:rFonts w:eastAsia="Calibri"/>
                <w:b/>
                <w:sz w:val="20"/>
                <w:szCs w:val="20"/>
                <w:lang w:val="en-US"/>
              </w:rPr>
            </w:pPr>
            <w:r>
              <w:rPr>
                <w:rFonts w:eastAsia="Calibri"/>
                <w:b/>
                <w:sz w:val="20"/>
                <w:szCs w:val="20"/>
                <w:lang w:val="en-US"/>
              </w:rPr>
              <w:t xml:space="preserve">The </w:t>
            </w:r>
            <w:r w:rsidR="00185C4F" w:rsidRPr="00025BBA">
              <w:rPr>
                <w:rFonts w:eastAsia="Calibri"/>
                <w:b/>
                <w:sz w:val="20"/>
                <w:szCs w:val="20"/>
                <w:lang w:val="en-US"/>
              </w:rPr>
              <w:t>Bologna process</w:t>
            </w:r>
          </w:p>
        </w:tc>
      </w:tr>
      <w:tr w:rsidR="00AF74E1" w:rsidRPr="00025BBA" w:rsidTr="0031508C">
        <w:tc>
          <w:tcPr>
            <w:tcW w:w="0" w:type="auto"/>
            <w:tcBorders>
              <w:top w:val="single" w:sz="4" w:space="0" w:color="auto"/>
              <w:left w:val="single" w:sz="12" w:space="0" w:color="auto"/>
              <w:bottom w:val="single" w:sz="4" w:space="0" w:color="auto"/>
              <w:right w:val="single" w:sz="4" w:space="0" w:color="auto"/>
            </w:tcBorders>
            <w:vAlign w:val="center"/>
          </w:tcPr>
          <w:p w:rsidR="00AF74E1" w:rsidRPr="00025BBA" w:rsidRDefault="00185C4F" w:rsidP="0031508C">
            <w:pPr>
              <w:jc w:val="center"/>
              <w:rPr>
                <w:rFonts w:eastAsia="Calibri"/>
                <w:b/>
                <w:sz w:val="20"/>
                <w:szCs w:val="20"/>
                <w:lang w:val="en-US"/>
              </w:rPr>
            </w:pPr>
            <w:r w:rsidRPr="00025BBA">
              <w:rPr>
                <w:rFonts w:eastAsia="Calibri"/>
                <w:b/>
                <w:sz w:val="20"/>
                <w:szCs w:val="20"/>
                <w:lang w:val="en-US"/>
              </w:rPr>
              <w:t>National framework</w:t>
            </w:r>
          </w:p>
          <w:p w:rsidR="0031508C" w:rsidRPr="00025BBA" w:rsidRDefault="0031508C" w:rsidP="0031508C">
            <w:pPr>
              <w:jc w:val="center"/>
              <w:rPr>
                <w:rFonts w:eastAsia="Calibri"/>
                <w:b/>
                <w:sz w:val="20"/>
                <w:szCs w:val="20"/>
                <w:lang w:val="en-US"/>
              </w:rPr>
            </w:pPr>
          </w:p>
        </w:tc>
        <w:tc>
          <w:tcPr>
            <w:tcW w:w="4958" w:type="dxa"/>
            <w:tcBorders>
              <w:top w:val="single" w:sz="4" w:space="0" w:color="auto"/>
              <w:left w:val="single" w:sz="4" w:space="0" w:color="auto"/>
              <w:bottom w:val="single" w:sz="4" w:space="0" w:color="auto"/>
              <w:right w:val="single" w:sz="12" w:space="0" w:color="auto"/>
            </w:tcBorders>
            <w:vAlign w:val="center"/>
            <w:hideMark/>
          </w:tcPr>
          <w:p w:rsidR="0031508C" w:rsidRPr="00025BBA" w:rsidRDefault="00485D44" w:rsidP="00485D44">
            <w:pPr>
              <w:jc w:val="center"/>
              <w:rPr>
                <w:rFonts w:eastAsia="Calibri"/>
                <w:b/>
                <w:sz w:val="20"/>
                <w:szCs w:val="20"/>
                <w:lang w:val="en-US"/>
              </w:rPr>
            </w:pPr>
            <w:r w:rsidRPr="00025BBA">
              <w:rPr>
                <w:rFonts w:eastAsia="Calibri"/>
                <w:b/>
                <w:sz w:val="20"/>
                <w:szCs w:val="20"/>
                <w:lang w:val="en-US"/>
              </w:rPr>
              <w:t>European framework of qualifications</w:t>
            </w:r>
          </w:p>
        </w:tc>
      </w:tr>
      <w:tr w:rsidR="00AF74E1" w:rsidRPr="00025BBA" w:rsidTr="0031508C">
        <w:tc>
          <w:tcPr>
            <w:tcW w:w="0" w:type="auto"/>
            <w:tcBorders>
              <w:top w:val="single" w:sz="4" w:space="0" w:color="auto"/>
              <w:left w:val="single" w:sz="12" w:space="0" w:color="auto"/>
              <w:bottom w:val="single" w:sz="4" w:space="0" w:color="auto"/>
              <w:right w:val="single" w:sz="4" w:space="0" w:color="auto"/>
            </w:tcBorders>
            <w:vAlign w:val="center"/>
          </w:tcPr>
          <w:p w:rsidR="00AF74E1" w:rsidRPr="00025BBA" w:rsidRDefault="00185C4F" w:rsidP="0031508C">
            <w:pPr>
              <w:jc w:val="center"/>
              <w:rPr>
                <w:rFonts w:eastAsia="Calibri"/>
                <w:b/>
                <w:sz w:val="20"/>
                <w:szCs w:val="20"/>
                <w:lang w:val="en-US"/>
              </w:rPr>
            </w:pPr>
            <w:r w:rsidRPr="00025BBA">
              <w:rPr>
                <w:rFonts w:eastAsia="Calibri"/>
                <w:b/>
                <w:sz w:val="20"/>
                <w:szCs w:val="20"/>
                <w:lang w:val="en-US"/>
              </w:rPr>
              <w:t>Institutional framework</w:t>
            </w:r>
          </w:p>
          <w:p w:rsidR="0031508C" w:rsidRPr="00025BBA" w:rsidRDefault="0031508C" w:rsidP="0031508C">
            <w:pPr>
              <w:jc w:val="center"/>
              <w:rPr>
                <w:rFonts w:eastAsia="Calibri"/>
                <w:b/>
                <w:sz w:val="20"/>
                <w:szCs w:val="20"/>
                <w:lang w:val="en-US"/>
              </w:rPr>
            </w:pPr>
          </w:p>
        </w:tc>
        <w:tc>
          <w:tcPr>
            <w:tcW w:w="4958" w:type="dxa"/>
            <w:tcBorders>
              <w:top w:val="single" w:sz="4" w:space="0" w:color="auto"/>
              <w:left w:val="single" w:sz="4" w:space="0" w:color="auto"/>
              <w:bottom w:val="single" w:sz="4" w:space="0" w:color="auto"/>
              <w:right w:val="single" w:sz="12" w:space="0" w:color="auto"/>
            </w:tcBorders>
            <w:vAlign w:val="center"/>
            <w:hideMark/>
          </w:tcPr>
          <w:p w:rsidR="0031508C" w:rsidRPr="00025BBA" w:rsidRDefault="00485D44" w:rsidP="00485D44">
            <w:pPr>
              <w:jc w:val="center"/>
              <w:rPr>
                <w:rFonts w:eastAsia="Calibri"/>
                <w:b/>
                <w:sz w:val="20"/>
                <w:szCs w:val="20"/>
                <w:lang w:val="en-US"/>
              </w:rPr>
            </w:pPr>
            <w:r w:rsidRPr="00025BBA">
              <w:rPr>
                <w:rFonts w:eastAsia="Calibri"/>
                <w:b/>
                <w:sz w:val="20"/>
                <w:szCs w:val="20"/>
                <w:lang w:val="en-US"/>
              </w:rPr>
              <w:t>Plan for strategic development</w:t>
            </w:r>
          </w:p>
        </w:tc>
      </w:tr>
      <w:tr w:rsidR="00AF74E1" w:rsidRPr="00025BBA" w:rsidTr="0031508C">
        <w:tc>
          <w:tcPr>
            <w:tcW w:w="0" w:type="auto"/>
            <w:tcBorders>
              <w:top w:val="single" w:sz="4" w:space="0" w:color="auto"/>
              <w:left w:val="single" w:sz="12" w:space="0" w:color="auto"/>
              <w:bottom w:val="single" w:sz="4" w:space="0" w:color="auto"/>
              <w:right w:val="single" w:sz="4" w:space="0" w:color="auto"/>
            </w:tcBorders>
            <w:vAlign w:val="center"/>
            <w:hideMark/>
          </w:tcPr>
          <w:p w:rsidR="0031508C" w:rsidRPr="00025BBA" w:rsidRDefault="00185C4F" w:rsidP="00185C4F">
            <w:pPr>
              <w:jc w:val="center"/>
              <w:rPr>
                <w:rFonts w:eastAsia="Calibri"/>
                <w:b/>
                <w:sz w:val="20"/>
                <w:szCs w:val="20"/>
                <w:lang w:val="en-US"/>
              </w:rPr>
            </w:pPr>
            <w:r w:rsidRPr="00025BBA">
              <w:rPr>
                <w:rFonts w:eastAsia="Calibri"/>
                <w:b/>
                <w:sz w:val="20"/>
                <w:szCs w:val="20"/>
                <w:lang w:val="en-US"/>
              </w:rPr>
              <w:t>Subject area</w:t>
            </w:r>
          </w:p>
        </w:tc>
        <w:tc>
          <w:tcPr>
            <w:tcW w:w="4958" w:type="dxa"/>
            <w:tcBorders>
              <w:top w:val="single" w:sz="4" w:space="0" w:color="auto"/>
              <w:left w:val="single" w:sz="4" w:space="0" w:color="auto"/>
              <w:bottom w:val="single" w:sz="4" w:space="0" w:color="auto"/>
              <w:right w:val="single" w:sz="12" w:space="0" w:color="auto"/>
            </w:tcBorders>
            <w:vAlign w:val="center"/>
            <w:hideMark/>
          </w:tcPr>
          <w:p w:rsidR="0031508C" w:rsidRPr="00025BBA" w:rsidRDefault="00485D44" w:rsidP="00485D44">
            <w:pPr>
              <w:jc w:val="center"/>
              <w:rPr>
                <w:rFonts w:eastAsia="Calibri"/>
                <w:b/>
                <w:sz w:val="20"/>
                <w:szCs w:val="20"/>
                <w:lang w:val="en-US"/>
              </w:rPr>
            </w:pPr>
            <w:r w:rsidRPr="00025BBA">
              <w:rPr>
                <w:rFonts w:eastAsia="Calibri"/>
                <w:b/>
                <w:sz w:val="20"/>
                <w:szCs w:val="20"/>
                <w:lang w:val="en-US"/>
              </w:rPr>
              <w:t>Subject standards</w:t>
            </w:r>
          </w:p>
        </w:tc>
      </w:tr>
      <w:tr w:rsidR="00AF74E1" w:rsidRPr="00025BBA" w:rsidTr="0031508C">
        <w:tc>
          <w:tcPr>
            <w:tcW w:w="0" w:type="auto"/>
            <w:tcBorders>
              <w:top w:val="single" w:sz="4" w:space="0" w:color="auto"/>
              <w:left w:val="single" w:sz="12" w:space="0" w:color="auto"/>
              <w:bottom w:val="single" w:sz="4" w:space="0" w:color="auto"/>
              <w:right w:val="single" w:sz="4" w:space="0" w:color="auto"/>
            </w:tcBorders>
            <w:vAlign w:val="center"/>
            <w:hideMark/>
          </w:tcPr>
          <w:p w:rsidR="0031508C" w:rsidRPr="00025BBA" w:rsidRDefault="00185C4F" w:rsidP="0031508C">
            <w:pPr>
              <w:jc w:val="center"/>
              <w:rPr>
                <w:rFonts w:eastAsia="Calibri"/>
                <w:b/>
                <w:sz w:val="20"/>
                <w:szCs w:val="20"/>
                <w:lang w:val="en-US"/>
              </w:rPr>
            </w:pPr>
            <w:r w:rsidRPr="00025BBA">
              <w:rPr>
                <w:rFonts w:eastAsia="Calibri"/>
                <w:b/>
                <w:sz w:val="20"/>
                <w:szCs w:val="20"/>
                <w:lang w:val="en-US"/>
              </w:rPr>
              <w:t>Study program</w:t>
            </w:r>
          </w:p>
          <w:p w:rsidR="0031508C" w:rsidRPr="00025BBA" w:rsidRDefault="0031508C" w:rsidP="0031508C">
            <w:pPr>
              <w:jc w:val="center"/>
              <w:rPr>
                <w:rFonts w:eastAsia="Calibri"/>
                <w:b/>
                <w:sz w:val="20"/>
                <w:szCs w:val="20"/>
                <w:lang w:val="en-US"/>
              </w:rPr>
            </w:pPr>
          </w:p>
        </w:tc>
        <w:tc>
          <w:tcPr>
            <w:tcW w:w="4958" w:type="dxa"/>
            <w:tcBorders>
              <w:top w:val="single" w:sz="4" w:space="0" w:color="auto"/>
              <w:left w:val="single" w:sz="4" w:space="0" w:color="auto"/>
              <w:bottom w:val="single" w:sz="4" w:space="0" w:color="auto"/>
              <w:right w:val="single" w:sz="12" w:space="0" w:color="auto"/>
            </w:tcBorders>
            <w:vAlign w:val="center"/>
            <w:hideMark/>
          </w:tcPr>
          <w:p w:rsidR="00EE1A86" w:rsidRPr="00025BBA" w:rsidRDefault="00485D44" w:rsidP="00EE1A86">
            <w:pPr>
              <w:jc w:val="center"/>
              <w:rPr>
                <w:rFonts w:eastAsia="Calibri"/>
                <w:b/>
                <w:sz w:val="20"/>
                <w:szCs w:val="20"/>
                <w:lang w:val="en-US"/>
              </w:rPr>
            </w:pPr>
            <w:r w:rsidRPr="00025BBA">
              <w:rPr>
                <w:rFonts w:eastAsia="Calibri"/>
                <w:b/>
                <w:sz w:val="20"/>
                <w:szCs w:val="20"/>
                <w:lang w:val="en-US"/>
              </w:rPr>
              <w:t>P</w:t>
            </w:r>
            <w:r w:rsidR="00EE1A86" w:rsidRPr="00025BBA">
              <w:rPr>
                <w:rFonts w:eastAsia="Calibri"/>
                <w:b/>
                <w:sz w:val="20"/>
                <w:szCs w:val="20"/>
                <w:lang w:val="en-US"/>
              </w:rPr>
              <w:t>rofessional</w:t>
            </w:r>
            <w:r w:rsidRPr="00025BBA">
              <w:rPr>
                <w:rFonts w:eastAsia="Calibri"/>
                <w:b/>
                <w:sz w:val="20"/>
                <w:szCs w:val="20"/>
                <w:lang w:val="en-US"/>
              </w:rPr>
              <w:t xml:space="preserve"> organs, </w:t>
            </w:r>
            <w:r w:rsidR="00EE1A86" w:rsidRPr="00025BBA">
              <w:rPr>
                <w:rFonts w:eastAsia="Calibri"/>
                <w:b/>
                <w:sz w:val="20"/>
                <w:szCs w:val="20"/>
                <w:lang w:val="en-US"/>
              </w:rPr>
              <w:t>institution organs</w:t>
            </w:r>
            <w:r w:rsidR="00AF74E1" w:rsidRPr="00025BBA">
              <w:rPr>
                <w:rFonts w:eastAsia="Calibri"/>
                <w:b/>
                <w:sz w:val="20"/>
                <w:szCs w:val="20"/>
                <w:lang w:val="en-US"/>
              </w:rPr>
              <w:t xml:space="preserve">, </w:t>
            </w:r>
          </w:p>
          <w:p w:rsidR="0031508C" w:rsidRPr="00025BBA" w:rsidRDefault="00EE1A86" w:rsidP="00EE1A86">
            <w:pPr>
              <w:jc w:val="center"/>
              <w:rPr>
                <w:rFonts w:eastAsia="Calibri"/>
                <w:b/>
                <w:sz w:val="20"/>
                <w:szCs w:val="20"/>
                <w:lang w:val="en-US"/>
              </w:rPr>
            </w:pPr>
            <w:r w:rsidRPr="00025BBA">
              <w:rPr>
                <w:rFonts w:eastAsia="Calibri"/>
                <w:b/>
                <w:sz w:val="20"/>
                <w:szCs w:val="20"/>
                <w:lang w:val="en-US"/>
              </w:rPr>
              <w:t xml:space="preserve">program specification </w:t>
            </w:r>
          </w:p>
        </w:tc>
      </w:tr>
      <w:tr w:rsidR="00AF74E1" w:rsidRPr="00025BBA" w:rsidTr="0031508C">
        <w:tc>
          <w:tcPr>
            <w:tcW w:w="0" w:type="auto"/>
            <w:tcBorders>
              <w:top w:val="single" w:sz="4" w:space="0" w:color="auto"/>
              <w:left w:val="single" w:sz="12" w:space="0" w:color="auto"/>
              <w:bottom w:val="single" w:sz="4" w:space="0" w:color="auto"/>
              <w:right w:val="single" w:sz="4" w:space="0" w:color="auto"/>
            </w:tcBorders>
            <w:vAlign w:val="center"/>
            <w:hideMark/>
          </w:tcPr>
          <w:p w:rsidR="0031508C" w:rsidRPr="00025BBA" w:rsidRDefault="00185C4F" w:rsidP="00185C4F">
            <w:pPr>
              <w:jc w:val="center"/>
              <w:rPr>
                <w:rFonts w:eastAsia="Calibri"/>
                <w:b/>
                <w:sz w:val="20"/>
                <w:szCs w:val="20"/>
                <w:lang w:val="en-US"/>
              </w:rPr>
            </w:pPr>
            <w:r w:rsidRPr="00025BBA">
              <w:rPr>
                <w:rFonts w:eastAsia="Calibri"/>
                <w:b/>
                <w:sz w:val="20"/>
                <w:szCs w:val="20"/>
                <w:lang w:val="en-US"/>
              </w:rPr>
              <w:t>Module</w:t>
            </w:r>
            <w:r w:rsidR="00AF74E1" w:rsidRPr="00025BBA">
              <w:rPr>
                <w:rFonts w:eastAsia="Calibri"/>
                <w:b/>
                <w:sz w:val="20"/>
                <w:szCs w:val="20"/>
                <w:lang w:val="en-US"/>
              </w:rPr>
              <w:t>/</w:t>
            </w:r>
            <w:r w:rsidRPr="00025BBA">
              <w:rPr>
                <w:rFonts w:eastAsia="Calibri"/>
                <w:b/>
                <w:sz w:val="20"/>
                <w:szCs w:val="20"/>
                <w:lang w:val="en-US"/>
              </w:rPr>
              <w:t>individual course</w:t>
            </w:r>
          </w:p>
        </w:tc>
        <w:tc>
          <w:tcPr>
            <w:tcW w:w="4958" w:type="dxa"/>
            <w:tcBorders>
              <w:top w:val="single" w:sz="4" w:space="0" w:color="auto"/>
              <w:left w:val="single" w:sz="4" w:space="0" w:color="auto"/>
              <w:bottom w:val="single" w:sz="4" w:space="0" w:color="auto"/>
              <w:right w:val="single" w:sz="12" w:space="0" w:color="auto"/>
            </w:tcBorders>
            <w:vAlign w:val="center"/>
            <w:hideMark/>
          </w:tcPr>
          <w:p w:rsidR="0031508C" w:rsidRPr="00025BBA" w:rsidRDefault="00485D44" w:rsidP="00485D44">
            <w:pPr>
              <w:jc w:val="center"/>
              <w:rPr>
                <w:rFonts w:eastAsia="Calibri"/>
                <w:b/>
                <w:sz w:val="20"/>
                <w:szCs w:val="20"/>
                <w:lang w:val="en-US"/>
              </w:rPr>
            </w:pPr>
            <w:r w:rsidRPr="00025BBA">
              <w:rPr>
                <w:rFonts w:eastAsia="Calibri"/>
                <w:b/>
                <w:sz w:val="20"/>
                <w:szCs w:val="20"/>
                <w:lang w:val="en-US"/>
              </w:rPr>
              <w:t>Descriptors of the level. Anticipated learning outcomes</w:t>
            </w:r>
          </w:p>
        </w:tc>
      </w:tr>
      <w:tr w:rsidR="00AF74E1" w:rsidRPr="00025BBA" w:rsidTr="0031508C">
        <w:tc>
          <w:tcPr>
            <w:tcW w:w="0" w:type="auto"/>
            <w:tcBorders>
              <w:top w:val="single" w:sz="4" w:space="0" w:color="auto"/>
              <w:left w:val="single" w:sz="12" w:space="0" w:color="auto"/>
              <w:bottom w:val="single" w:sz="12" w:space="0" w:color="auto"/>
              <w:right w:val="single" w:sz="4" w:space="0" w:color="auto"/>
            </w:tcBorders>
            <w:vAlign w:val="center"/>
          </w:tcPr>
          <w:p w:rsidR="00AF74E1" w:rsidRPr="00025BBA" w:rsidRDefault="00185C4F" w:rsidP="0031508C">
            <w:pPr>
              <w:jc w:val="center"/>
              <w:rPr>
                <w:rFonts w:eastAsia="Calibri"/>
                <w:b/>
                <w:sz w:val="20"/>
                <w:szCs w:val="20"/>
                <w:lang w:val="en-US"/>
              </w:rPr>
            </w:pPr>
            <w:r w:rsidRPr="00025BBA">
              <w:rPr>
                <w:rFonts w:eastAsia="Calibri"/>
                <w:b/>
                <w:sz w:val="20"/>
                <w:szCs w:val="20"/>
                <w:lang w:val="en-US"/>
              </w:rPr>
              <w:t>Student’s learning</w:t>
            </w:r>
          </w:p>
          <w:p w:rsidR="0031508C" w:rsidRPr="00025BBA" w:rsidRDefault="0031508C" w:rsidP="0031508C">
            <w:pPr>
              <w:jc w:val="center"/>
              <w:rPr>
                <w:rFonts w:eastAsia="Calibri"/>
                <w:b/>
                <w:sz w:val="20"/>
                <w:szCs w:val="20"/>
                <w:lang w:val="en-US"/>
              </w:rPr>
            </w:pPr>
          </w:p>
        </w:tc>
        <w:tc>
          <w:tcPr>
            <w:tcW w:w="4958" w:type="dxa"/>
            <w:tcBorders>
              <w:top w:val="single" w:sz="4" w:space="0" w:color="auto"/>
              <w:left w:val="single" w:sz="4" w:space="0" w:color="auto"/>
              <w:bottom w:val="single" w:sz="12" w:space="0" w:color="auto"/>
              <w:right w:val="single" w:sz="12" w:space="0" w:color="auto"/>
            </w:tcBorders>
            <w:vAlign w:val="center"/>
            <w:hideMark/>
          </w:tcPr>
          <w:p w:rsidR="0031508C" w:rsidRPr="00025BBA" w:rsidRDefault="00485D44" w:rsidP="00485D44">
            <w:pPr>
              <w:jc w:val="center"/>
              <w:rPr>
                <w:rFonts w:eastAsia="Calibri"/>
                <w:b/>
                <w:sz w:val="20"/>
                <w:szCs w:val="20"/>
                <w:lang w:val="en-US"/>
              </w:rPr>
            </w:pPr>
            <w:r w:rsidRPr="00025BBA">
              <w:rPr>
                <w:rFonts w:eastAsia="Calibri"/>
                <w:b/>
                <w:sz w:val="20"/>
                <w:szCs w:val="20"/>
                <w:lang w:val="en-US"/>
              </w:rPr>
              <w:t>Teaching and learning strategies</w:t>
            </w:r>
          </w:p>
        </w:tc>
      </w:tr>
    </w:tbl>
    <w:p w:rsidR="00AF74E1" w:rsidRPr="00025BBA" w:rsidRDefault="00AF74E1" w:rsidP="00A439A8">
      <w:pPr>
        <w:ind w:firstLine="360"/>
        <w:rPr>
          <w:lang w:val="en-US" w:eastAsia="en-GB"/>
        </w:rPr>
      </w:pPr>
    </w:p>
    <w:p w:rsidR="00EC46B6" w:rsidRDefault="00EC46B6" w:rsidP="00227D21">
      <w:pPr>
        <w:ind w:firstLine="426"/>
        <w:rPr>
          <w:lang w:val="en-US"/>
        </w:rPr>
      </w:pPr>
      <w:r w:rsidRPr="00EC46B6">
        <w:rPr>
          <w:b/>
          <w:u w:val="single"/>
        </w:rPr>
        <w:t>Duration of studies</w:t>
      </w:r>
      <w:r>
        <w:t xml:space="preserve"> - during the last decade education follows a general trend towards internationalization</w:t>
      </w:r>
      <w:r>
        <w:rPr>
          <w:lang w:val="en-US"/>
        </w:rPr>
        <w:t xml:space="preserve">. </w:t>
      </w:r>
      <w:r>
        <w:t xml:space="preserve">More than ever before, students are convinced that it is in their interest </w:t>
      </w:r>
      <w:r>
        <w:rPr>
          <w:lang w:val="en-US"/>
        </w:rPr>
        <w:t>to</w:t>
      </w:r>
      <w:r>
        <w:t xml:space="preserve"> study abroad</w:t>
      </w:r>
      <w:r>
        <w:rPr>
          <w:lang w:val="en-US"/>
        </w:rPr>
        <w:t xml:space="preserve"> for a certain period</w:t>
      </w:r>
      <w:r>
        <w:t xml:space="preserve">. </w:t>
      </w:r>
      <w:r>
        <w:rPr>
          <w:lang w:val="en-US"/>
        </w:rPr>
        <w:t>In</w:t>
      </w:r>
      <w:r w:rsidRPr="00EC46B6">
        <w:t xml:space="preserve"> </w:t>
      </w:r>
      <w:r>
        <w:rPr>
          <w:lang w:val="en-US"/>
        </w:rPr>
        <w:t>accordance</w:t>
      </w:r>
      <w:r w:rsidRPr="00EC46B6">
        <w:t xml:space="preserve"> </w:t>
      </w:r>
      <w:r>
        <w:rPr>
          <w:lang w:val="en-US"/>
        </w:rPr>
        <w:t>with</w:t>
      </w:r>
      <w:r w:rsidRPr="00EC46B6">
        <w:t xml:space="preserve"> </w:t>
      </w:r>
      <w:r>
        <w:rPr>
          <w:lang w:val="en-US"/>
        </w:rPr>
        <w:t>the</w:t>
      </w:r>
      <w:r>
        <w:t xml:space="preserve"> </w:t>
      </w:r>
      <w:r w:rsidR="008F70C0">
        <w:rPr>
          <w:lang w:val="en-US"/>
        </w:rPr>
        <w:t xml:space="preserve">the </w:t>
      </w:r>
      <w:r>
        <w:t>Sorbonne Declaration</w:t>
      </w:r>
      <w:r w:rsidR="004A5782" w:rsidRPr="00025BBA">
        <w:rPr>
          <w:i/>
          <w:vertAlign w:val="superscript"/>
          <w:lang w:val="en-US" w:eastAsia="en-GB"/>
        </w:rPr>
        <w:footnoteReference w:id="10"/>
      </w:r>
      <w:r w:rsidRPr="00EC46B6">
        <w:rPr>
          <w:lang w:eastAsia="en-GB"/>
        </w:rPr>
        <w:t xml:space="preserve"> (1998</w:t>
      </w:r>
      <w:r w:rsidR="004A5782" w:rsidRPr="00EC46B6">
        <w:rPr>
          <w:lang w:eastAsia="en-GB"/>
        </w:rPr>
        <w:t xml:space="preserve">) </w:t>
      </w:r>
      <w:r>
        <w:rPr>
          <w:lang w:val="en-US" w:eastAsia="en-GB"/>
        </w:rPr>
        <w:t>and</w:t>
      </w:r>
      <w:r w:rsidRPr="00EC46B6">
        <w:rPr>
          <w:lang w:eastAsia="en-GB"/>
        </w:rPr>
        <w:t xml:space="preserve"> </w:t>
      </w:r>
      <w:r>
        <w:rPr>
          <w:lang w:val="en-US" w:eastAsia="en-GB"/>
        </w:rPr>
        <w:t>the</w:t>
      </w:r>
      <w:r w:rsidRPr="00EC46B6">
        <w:rPr>
          <w:lang w:eastAsia="en-GB"/>
        </w:rPr>
        <w:t xml:space="preserve"> </w:t>
      </w:r>
      <w:r>
        <w:rPr>
          <w:lang w:val="en-US" w:eastAsia="en-GB"/>
        </w:rPr>
        <w:t>Bologna</w:t>
      </w:r>
      <w:r w:rsidRPr="00EC46B6">
        <w:rPr>
          <w:lang w:eastAsia="en-GB"/>
        </w:rPr>
        <w:t xml:space="preserve"> </w:t>
      </w:r>
      <w:r>
        <w:rPr>
          <w:lang w:val="en-US" w:eastAsia="en-GB"/>
        </w:rPr>
        <w:t>Declaration</w:t>
      </w:r>
      <w:r w:rsidRPr="00EC46B6">
        <w:rPr>
          <w:lang w:eastAsia="en-GB"/>
        </w:rPr>
        <w:t xml:space="preserve"> </w:t>
      </w:r>
      <w:r w:rsidR="004A5782" w:rsidRPr="00EC46B6">
        <w:rPr>
          <w:lang w:eastAsia="en-GB"/>
        </w:rPr>
        <w:t>(1999г</w:t>
      </w:r>
      <w:r>
        <w:rPr>
          <w:lang w:eastAsia="en-GB"/>
        </w:rPr>
        <w:t>)</w:t>
      </w:r>
      <w:r w:rsidRPr="00EC46B6">
        <w:rPr>
          <w:lang w:eastAsia="en-GB"/>
        </w:rPr>
        <w:t xml:space="preserve"> </w:t>
      </w:r>
      <w:r>
        <w:rPr>
          <w:lang w:val="en-US" w:eastAsia="en-GB"/>
        </w:rPr>
        <w:t>that</w:t>
      </w:r>
      <w:r w:rsidRPr="00EC46B6">
        <w:rPr>
          <w:lang w:eastAsia="en-GB"/>
        </w:rPr>
        <w:t xml:space="preserve"> </w:t>
      </w:r>
      <w:r>
        <w:rPr>
          <w:lang w:val="en-US" w:eastAsia="en-GB"/>
        </w:rPr>
        <w:t>were</w:t>
      </w:r>
      <w:r w:rsidRPr="00EC46B6">
        <w:rPr>
          <w:lang w:eastAsia="en-GB"/>
        </w:rPr>
        <w:t xml:space="preserve"> </w:t>
      </w:r>
      <w:r>
        <w:rPr>
          <w:lang w:val="en-US" w:eastAsia="en-GB"/>
        </w:rPr>
        <w:t>the</w:t>
      </w:r>
      <w:r w:rsidRPr="00EC46B6">
        <w:rPr>
          <w:lang w:eastAsia="en-GB"/>
        </w:rPr>
        <w:t xml:space="preserve"> </w:t>
      </w:r>
      <w:r>
        <w:rPr>
          <w:lang w:val="en-US" w:eastAsia="en-GB"/>
        </w:rPr>
        <w:t>decisive</w:t>
      </w:r>
      <w:r w:rsidRPr="00EC46B6">
        <w:rPr>
          <w:lang w:eastAsia="en-GB"/>
        </w:rPr>
        <w:t xml:space="preserve"> </w:t>
      </w:r>
      <w:r>
        <w:rPr>
          <w:lang w:val="en-US" w:eastAsia="en-GB"/>
        </w:rPr>
        <w:t>factors</w:t>
      </w:r>
      <w:r w:rsidRPr="00EC46B6">
        <w:rPr>
          <w:lang w:eastAsia="en-GB"/>
        </w:rPr>
        <w:t xml:space="preserve"> </w:t>
      </w:r>
      <w:r>
        <w:rPr>
          <w:lang w:val="en-US" w:eastAsia="en-GB"/>
        </w:rPr>
        <w:t>for</w:t>
      </w:r>
      <w:r w:rsidRPr="00EC46B6">
        <w:rPr>
          <w:lang w:eastAsia="en-GB"/>
        </w:rPr>
        <w:t xml:space="preserve"> </w:t>
      </w:r>
      <w:r>
        <w:rPr>
          <w:lang w:val="en-US" w:eastAsia="en-GB"/>
        </w:rPr>
        <w:t>introducing</w:t>
      </w:r>
      <w:r w:rsidRPr="00EC46B6">
        <w:rPr>
          <w:lang w:eastAsia="en-GB"/>
        </w:rPr>
        <w:t xml:space="preserve"> a</w:t>
      </w:r>
      <w:r w:rsidRPr="00EC46B6">
        <w:rPr>
          <w:b/>
          <w:lang w:eastAsia="en-GB"/>
        </w:rPr>
        <w:t xml:space="preserve"> </w:t>
      </w:r>
      <w:r>
        <w:rPr>
          <w:b/>
          <w:lang w:val="en-US" w:eastAsia="en-GB"/>
        </w:rPr>
        <w:t>national</w:t>
      </w:r>
      <w:r w:rsidRPr="00EC46B6">
        <w:rPr>
          <w:b/>
          <w:lang w:eastAsia="en-GB"/>
        </w:rPr>
        <w:t xml:space="preserve"> </w:t>
      </w:r>
      <w:r>
        <w:rPr>
          <w:b/>
          <w:lang w:val="en-US" w:eastAsia="en-GB"/>
        </w:rPr>
        <w:t>credit</w:t>
      </w:r>
      <w:r w:rsidRPr="00EC46B6">
        <w:rPr>
          <w:b/>
          <w:lang w:eastAsia="en-GB"/>
        </w:rPr>
        <w:t xml:space="preserve"> </w:t>
      </w:r>
      <w:r>
        <w:rPr>
          <w:b/>
          <w:lang w:val="en-US" w:eastAsia="en-GB"/>
        </w:rPr>
        <w:t>system</w:t>
      </w:r>
      <w:r w:rsidRPr="00EC46B6">
        <w:rPr>
          <w:b/>
          <w:lang w:eastAsia="en-GB"/>
        </w:rPr>
        <w:t xml:space="preserve"> </w:t>
      </w:r>
      <w:r>
        <w:rPr>
          <w:b/>
          <w:lang w:val="en-US" w:eastAsia="en-GB"/>
        </w:rPr>
        <w:t>in</w:t>
      </w:r>
      <w:r w:rsidRPr="00EC46B6">
        <w:rPr>
          <w:b/>
          <w:lang w:eastAsia="en-GB"/>
        </w:rPr>
        <w:t xml:space="preserve"> </w:t>
      </w:r>
      <w:r>
        <w:rPr>
          <w:lang w:val="en-US" w:eastAsia="en-GB"/>
        </w:rPr>
        <w:t>most</w:t>
      </w:r>
      <w:r w:rsidRPr="00EC46B6">
        <w:rPr>
          <w:lang w:eastAsia="en-GB"/>
        </w:rPr>
        <w:t xml:space="preserve"> </w:t>
      </w:r>
      <w:r>
        <w:rPr>
          <w:lang w:val="en-US" w:eastAsia="en-GB"/>
        </w:rPr>
        <w:t xml:space="preserve">countries </w:t>
      </w:r>
      <w:r w:rsidRPr="00EC46B6">
        <w:rPr>
          <w:b/>
          <w:lang w:val="en-US" w:eastAsia="en-GB"/>
        </w:rPr>
        <w:t>ECTS</w:t>
      </w:r>
      <w:r w:rsidR="004A5782" w:rsidRPr="00025BBA">
        <w:rPr>
          <w:b/>
          <w:vertAlign w:val="superscript"/>
          <w:lang w:val="en-US" w:eastAsia="en-GB"/>
        </w:rPr>
        <w:footnoteReference w:id="11"/>
      </w:r>
      <w:r w:rsidR="004A5782" w:rsidRPr="00EC46B6">
        <w:rPr>
          <w:lang w:eastAsia="en-GB"/>
        </w:rPr>
        <w:t xml:space="preserve">, </w:t>
      </w:r>
      <w:r>
        <w:rPr>
          <w:lang w:val="en-US"/>
        </w:rPr>
        <w:t xml:space="preserve">a </w:t>
      </w:r>
      <w:r>
        <w:t>debate about the desirable duration of study programs</w:t>
      </w:r>
      <w:r>
        <w:rPr>
          <w:lang w:val="en-US"/>
        </w:rPr>
        <w:t xml:space="preserve"> naturally arose</w:t>
      </w:r>
      <w:r>
        <w:t xml:space="preserve">. Thus, Europe has come to a consensus on the following general structure: </w:t>
      </w:r>
    </w:p>
    <w:p w:rsidR="004A5782" w:rsidRPr="00025BBA" w:rsidRDefault="004A5782" w:rsidP="004A5782">
      <w:pPr>
        <w:ind w:firstLine="720"/>
        <w:rPr>
          <w:sz w:val="20"/>
          <w:szCs w:val="20"/>
          <w:lang w:val="en-US" w:eastAsia="en-GB"/>
        </w:rPr>
      </w:pPr>
    </w:p>
    <w:p w:rsidR="004A5782" w:rsidRPr="00025BBA" w:rsidRDefault="00E56505" w:rsidP="00227D21">
      <w:pPr>
        <w:ind w:firstLine="426"/>
        <w:rPr>
          <w:b/>
          <w:i/>
          <w:sz w:val="20"/>
          <w:szCs w:val="20"/>
          <w:lang w:val="en-US" w:eastAsia="en-GB"/>
        </w:rPr>
      </w:pPr>
      <w:proofErr w:type="gramStart"/>
      <w:r w:rsidRPr="00025BBA">
        <w:rPr>
          <w:b/>
          <w:sz w:val="20"/>
          <w:szCs w:val="20"/>
          <w:lang w:val="en-US" w:eastAsia="en-GB"/>
        </w:rPr>
        <w:t>Table</w:t>
      </w:r>
      <w:r w:rsidR="006F5EC6">
        <w:rPr>
          <w:b/>
          <w:sz w:val="20"/>
          <w:szCs w:val="20"/>
          <w:lang w:val="en-US" w:eastAsia="en-GB"/>
        </w:rPr>
        <w:t xml:space="preserve"> 2</w:t>
      </w:r>
      <w:r w:rsidR="004A5782" w:rsidRPr="00025BBA">
        <w:rPr>
          <w:b/>
          <w:sz w:val="20"/>
          <w:szCs w:val="20"/>
          <w:lang w:val="en-US" w:eastAsia="en-GB"/>
        </w:rPr>
        <w:t>.</w:t>
      </w:r>
      <w:proofErr w:type="gramEnd"/>
      <w:r w:rsidR="004A5782" w:rsidRPr="00025BBA">
        <w:rPr>
          <w:b/>
          <w:sz w:val="20"/>
          <w:szCs w:val="20"/>
          <w:lang w:val="en-US" w:eastAsia="en-GB"/>
        </w:rPr>
        <w:t xml:space="preserve"> </w:t>
      </w:r>
      <w:r w:rsidRPr="00025BBA">
        <w:rPr>
          <w:b/>
          <w:i/>
          <w:sz w:val="20"/>
          <w:szCs w:val="20"/>
          <w:lang w:val="en-US" w:eastAsia="en-GB"/>
        </w:rPr>
        <w:t>General structures of the duration of a study program</w:t>
      </w:r>
    </w:p>
    <w:p w:rsidR="004A5782" w:rsidRPr="00025BBA" w:rsidRDefault="004A5782" w:rsidP="004A5782">
      <w:pPr>
        <w:ind w:firstLine="720"/>
        <w:rPr>
          <w:b/>
          <w:sz w:val="20"/>
          <w:szCs w:val="20"/>
          <w:lang w:val="en-US" w:eastAsia="en-GB"/>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440"/>
        <w:gridCol w:w="1860"/>
        <w:gridCol w:w="1489"/>
        <w:gridCol w:w="1931"/>
      </w:tblGrid>
      <w:tr w:rsidR="00CC68EB" w:rsidRPr="00025BBA" w:rsidTr="0031508C">
        <w:tc>
          <w:tcPr>
            <w:tcW w:w="1920" w:type="dxa"/>
            <w:tcBorders>
              <w:top w:val="single" w:sz="18" w:space="0" w:color="auto"/>
              <w:left w:val="single" w:sz="18" w:space="0" w:color="auto"/>
              <w:bottom w:val="single" w:sz="18" w:space="0" w:color="auto"/>
              <w:right w:val="single" w:sz="4" w:space="0" w:color="auto"/>
            </w:tcBorders>
            <w:shd w:val="pct10" w:color="auto" w:fill="auto"/>
            <w:hideMark/>
          </w:tcPr>
          <w:p w:rsidR="00B5742C" w:rsidRPr="00025BBA" w:rsidRDefault="00B5742C" w:rsidP="004A5782">
            <w:pPr>
              <w:rPr>
                <w:b/>
                <w:sz w:val="20"/>
                <w:szCs w:val="20"/>
                <w:lang w:val="en-US" w:eastAsia="en-GB"/>
              </w:rPr>
            </w:pPr>
          </w:p>
          <w:p w:rsidR="004A5782" w:rsidRPr="00025BBA" w:rsidRDefault="00CC68EB" w:rsidP="00CC68EB">
            <w:pPr>
              <w:rPr>
                <w:b/>
                <w:sz w:val="20"/>
                <w:szCs w:val="20"/>
                <w:lang w:val="en-US" w:eastAsia="en-GB"/>
              </w:rPr>
            </w:pPr>
            <w:r w:rsidRPr="00025BBA">
              <w:rPr>
                <w:b/>
                <w:sz w:val="20"/>
                <w:szCs w:val="20"/>
                <w:lang w:val="en-US" w:eastAsia="en-GB"/>
              </w:rPr>
              <w:t>Study level</w:t>
            </w:r>
          </w:p>
        </w:tc>
        <w:tc>
          <w:tcPr>
            <w:tcW w:w="1440" w:type="dxa"/>
            <w:tcBorders>
              <w:top w:val="single" w:sz="18" w:space="0" w:color="auto"/>
              <w:left w:val="single" w:sz="4" w:space="0" w:color="auto"/>
              <w:bottom w:val="single" w:sz="18" w:space="0" w:color="auto"/>
              <w:right w:val="single" w:sz="4" w:space="0" w:color="auto"/>
            </w:tcBorders>
            <w:shd w:val="pct10" w:color="auto" w:fill="auto"/>
            <w:hideMark/>
          </w:tcPr>
          <w:p w:rsidR="004A5782" w:rsidRPr="00025BBA" w:rsidRDefault="00CC68EB" w:rsidP="00CC68EB">
            <w:pPr>
              <w:jc w:val="center"/>
              <w:rPr>
                <w:b/>
                <w:sz w:val="20"/>
                <w:szCs w:val="20"/>
                <w:lang w:val="en-US" w:eastAsia="en-GB"/>
              </w:rPr>
            </w:pPr>
            <w:r w:rsidRPr="00025BBA">
              <w:rPr>
                <w:b/>
                <w:sz w:val="20"/>
                <w:szCs w:val="20"/>
                <w:lang w:val="en-US" w:eastAsia="en-GB"/>
              </w:rPr>
              <w:t>Working weeks in a year</w:t>
            </w:r>
          </w:p>
        </w:tc>
        <w:tc>
          <w:tcPr>
            <w:tcW w:w="1860" w:type="dxa"/>
            <w:tcBorders>
              <w:top w:val="single" w:sz="18" w:space="0" w:color="auto"/>
              <w:left w:val="single" w:sz="4" w:space="0" w:color="auto"/>
              <w:bottom w:val="single" w:sz="18" w:space="0" w:color="auto"/>
              <w:right w:val="single" w:sz="4" w:space="0" w:color="auto"/>
            </w:tcBorders>
            <w:shd w:val="pct10" w:color="auto" w:fill="auto"/>
            <w:hideMark/>
          </w:tcPr>
          <w:p w:rsidR="004A5782" w:rsidRPr="00025BBA" w:rsidRDefault="00CC68EB" w:rsidP="00CC68EB">
            <w:pPr>
              <w:jc w:val="center"/>
              <w:rPr>
                <w:b/>
                <w:sz w:val="20"/>
                <w:szCs w:val="20"/>
                <w:lang w:val="en-US" w:eastAsia="en-GB"/>
              </w:rPr>
            </w:pPr>
            <w:r w:rsidRPr="00025BBA">
              <w:rPr>
                <w:b/>
                <w:sz w:val="20"/>
                <w:szCs w:val="20"/>
                <w:lang w:val="en-US" w:eastAsia="en-GB"/>
              </w:rPr>
              <w:t xml:space="preserve">Working hours </w:t>
            </w:r>
            <w:r w:rsidR="004A5782" w:rsidRPr="00025BBA">
              <w:rPr>
                <w:b/>
                <w:sz w:val="20"/>
                <w:szCs w:val="20"/>
                <w:lang w:val="en-US" w:eastAsia="en-GB"/>
              </w:rPr>
              <w:t>(1</w:t>
            </w:r>
            <w:r w:rsidRPr="00025BBA">
              <w:rPr>
                <w:b/>
                <w:sz w:val="20"/>
                <w:szCs w:val="20"/>
                <w:lang w:val="en-US" w:eastAsia="en-GB"/>
              </w:rPr>
              <w:t>week</w:t>
            </w:r>
            <w:r w:rsidR="004A5782" w:rsidRPr="00025BBA">
              <w:rPr>
                <w:b/>
                <w:sz w:val="20"/>
                <w:szCs w:val="20"/>
                <w:lang w:val="en-US" w:eastAsia="en-GB"/>
              </w:rPr>
              <w:t>-40/42</w:t>
            </w:r>
            <w:r w:rsidRPr="00025BBA">
              <w:rPr>
                <w:b/>
                <w:sz w:val="20"/>
                <w:szCs w:val="20"/>
                <w:lang w:val="en-US" w:eastAsia="en-GB"/>
              </w:rPr>
              <w:t xml:space="preserve"> hours</w:t>
            </w:r>
            <w:r w:rsidR="004A5782" w:rsidRPr="00025BBA">
              <w:rPr>
                <w:b/>
                <w:sz w:val="20"/>
                <w:szCs w:val="20"/>
                <w:lang w:val="en-US" w:eastAsia="en-GB"/>
              </w:rPr>
              <w:t>)</w:t>
            </w:r>
          </w:p>
        </w:tc>
        <w:tc>
          <w:tcPr>
            <w:tcW w:w="1489" w:type="dxa"/>
            <w:tcBorders>
              <w:top w:val="single" w:sz="18" w:space="0" w:color="auto"/>
              <w:left w:val="single" w:sz="4" w:space="0" w:color="auto"/>
              <w:bottom w:val="single" w:sz="18" w:space="0" w:color="auto"/>
              <w:right w:val="single" w:sz="4" w:space="0" w:color="auto"/>
            </w:tcBorders>
            <w:shd w:val="pct10" w:color="auto" w:fill="auto"/>
            <w:hideMark/>
          </w:tcPr>
          <w:p w:rsidR="004A5782" w:rsidRPr="00025BBA" w:rsidRDefault="00CC68EB" w:rsidP="00CC68EB">
            <w:pPr>
              <w:ind w:firstLine="59"/>
              <w:jc w:val="center"/>
              <w:rPr>
                <w:b/>
                <w:sz w:val="20"/>
                <w:szCs w:val="20"/>
                <w:lang w:val="en-US" w:eastAsia="en-GB"/>
              </w:rPr>
            </w:pPr>
            <w:r w:rsidRPr="00025BBA">
              <w:rPr>
                <w:b/>
                <w:sz w:val="20"/>
                <w:szCs w:val="20"/>
                <w:lang w:val="en-US" w:eastAsia="en-GB"/>
              </w:rPr>
              <w:t>ECTS per year</w:t>
            </w:r>
          </w:p>
        </w:tc>
        <w:tc>
          <w:tcPr>
            <w:tcW w:w="1931" w:type="dxa"/>
            <w:tcBorders>
              <w:top w:val="single" w:sz="18" w:space="0" w:color="auto"/>
              <w:left w:val="single" w:sz="4" w:space="0" w:color="auto"/>
              <w:bottom w:val="single" w:sz="18" w:space="0" w:color="auto"/>
              <w:right w:val="single" w:sz="18" w:space="0" w:color="auto"/>
            </w:tcBorders>
            <w:shd w:val="pct10" w:color="auto" w:fill="auto"/>
            <w:hideMark/>
          </w:tcPr>
          <w:p w:rsidR="004A5782" w:rsidRPr="00025BBA" w:rsidRDefault="00CC68EB" w:rsidP="00CC68EB">
            <w:pPr>
              <w:ind w:hanging="13"/>
              <w:jc w:val="center"/>
              <w:rPr>
                <w:b/>
                <w:sz w:val="20"/>
                <w:szCs w:val="20"/>
                <w:lang w:val="en-US" w:eastAsia="en-GB"/>
              </w:rPr>
            </w:pPr>
            <w:r w:rsidRPr="00025BBA">
              <w:rPr>
                <w:b/>
                <w:sz w:val="20"/>
                <w:szCs w:val="20"/>
                <w:lang w:val="en-US" w:eastAsia="en-GB"/>
              </w:rPr>
              <w:t>Total duration of the studies</w:t>
            </w:r>
          </w:p>
        </w:tc>
      </w:tr>
      <w:tr w:rsidR="00CC68EB" w:rsidRPr="00025BBA" w:rsidTr="0031508C">
        <w:trPr>
          <w:trHeight w:val="691"/>
        </w:trPr>
        <w:tc>
          <w:tcPr>
            <w:tcW w:w="1920" w:type="dxa"/>
            <w:tcBorders>
              <w:top w:val="single" w:sz="18" w:space="0" w:color="auto"/>
              <w:left w:val="single" w:sz="18" w:space="0" w:color="auto"/>
              <w:bottom w:val="single" w:sz="4" w:space="0" w:color="auto"/>
              <w:right w:val="single" w:sz="4" w:space="0" w:color="auto"/>
            </w:tcBorders>
            <w:shd w:val="pct10" w:color="auto" w:fill="auto"/>
            <w:hideMark/>
          </w:tcPr>
          <w:p w:rsidR="004A5782" w:rsidRPr="00025BBA" w:rsidRDefault="00E56505" w:rsidP="00E56505">
            <w:pPr>
              <w:ind w:firstLine="34"/>
              <w:rPr>
                <w:b/>
                <w:sz w:val="20"/>
                <w:szCs w:val="20"/>
                <w:lang w:val="en-US" w:eastAsia="en-GB"/>
              </w:rPr>
            </w:pPr>
            <w:r w:rsidRPr="00025BBA">
              <w:rPr>
                <w:b/>
                <w:sz w:val="20"/>
                <w:szCs w:val="20"/>
                <w:lang w:val="en-US" w:eastAsia="en-GB"/>
              </w:rPr>
              <w:t>First cycle</w:t>
            </w:r>
            <w:r w:rsidR="004A5782" w:rsidRPr="00025BBA">
              <w:rPr>
                <w:b/>
                <w:sz w:val="20"/>
                <w:szCs w:val="20"/>
                <w:lang w:val="en-US" w:eastAsia="en-GB"/>
              </w:rPr>
              <w:t xml:space="preserve"> – </w:t>
            </w:r>
            <w:r w:rsidRPr="00025BBA">
              <w:rPr>
                <w:b/>
                <w:sz w:val="20"/>
                <w:szCs w:val="20"/>
                <w:lang w:val="en-US" w:eastAsia="en-GB"/>
              </w:rPr>
              <w:t>undergraduate studies</w:t>
            </w:r>
          </w:p>
        </w:tc>
        <w:tc>
          <w:tcPr>
            <w:tcW w:w="1440" w:type="dxa"/>
            <w:tcBorders>
              <w:top w:val="single" w:sz="18" w:space="0" w:color="auto"/>
              <w:left w:val="single" w:sz="4" w:space="0" w:color="auto"/>
              <w:bottom w:val="single" w:sz="4" w:space="0" w:color="auto"/>
              <w:right w:val="single" w:sz="4" w:space="0" w:color="auto"/>
            </w:tcBorders>
          </w:tcPr>
          <w:p w:rsidR="004A5782" w:rsidRPr="00025BBA" w:rsidRDefault="004A5782" w:rsidP="004A5782">
            <w:pPr>
              <w:ind w:firstLine="720"/>
              <w:jc w:val="center"/>
              <w:rPr>
                <w:sz w:val="20"/>
                <w:szCs w:val="20"/>
                <w:lang w:val="en-US" w:eastAsia="en-GB"/>
              </w:rPr>
            </w:pPr>
          </w:p>
          <w:p w:rsidR="004A5782" w:rsidRPr="00025BBA" w:rsidRDefault="004A5782" w:rsidP="004A5782">
            <w:pPr>
              <w:jc w:val="center"/>
              <w:rPr>
                <w:sz w:val="20"/>
                <w:szCs w:val="20"/>
                <w:lang w:val="en-US" w:eastAsia="en-GB"/>
              </w:rPr>
            </w:pPr>
            <w:r w:rsidRPr="00025BBA">
              <w:rPr>
                <w:sz w:val="20"/>
                <w:szCs w:val="20"/>
                <w:lang w:val="en-US" w:eastAsia="en-GB"/>
              </w:rPr>
              <w:t>34 – 40</w:t>
            </w:r>
          </w:p>
        </w:tc>
        <w:tc>
          <w:tcPr>
            <w:tcW w:w="1860" w:type="dxa"/>
            <w:tcBorders>
              <w:top w:val="single" w:sz="18" w:space="0" w:color="auto"/>
              <w:left w:val="single" w:sz="4" w:space="0" w:color="auto"/>
              <w:bottom w:val="single" w:sz="4" w:space="0" w:color="auto"/>
              <w:right w:val="single" w:sz="4" w:space="0" w:color="auto"/>
            </w:tcBorders>
          </w:tcPr>
          <w:p w:rsidR="004A5782" w:rsidRPr="00025BBA" w:rsidRDefault="004A5782" w:rsidP="004A5782">
            <w:pPr>
              <w:ind w:firstLine="720"/>
              <w:jc w:val="center"/>
              <w:rPr>
                <w:sz w:val="20"/>
                <w:szCs w:val="20"/>
                <w:lang w:val="en-US" w:eastAsia="en-GB"/>
              </w:rPr>
            </w:pPr>
          </w:p>
          <w:p w:rsidR="004A5782" w:rsidRPr="00025BBA" w:rsidRDefault="004A5782" w:rsidP="004A5782">
            <w:pPr>
              <w:jc w:val="center"/>
              <w:rPr>
                <w:sz w:val="20"/>
                <w:szCs w:val="20"/>
                <w:lang w:val="en-US" w:eastAsia="en-GB"/>
              </w:rPr>
            </w:pPr>
            <w:r w:rsidRPr="00025BBA">
              <w:rPr>
                <w:sz w:val="20"/>
                <w:szCs w:val="20"/>
                <w:lang w:val="en-US" w:eastAsia="en-GB"/>
              </w:rPr>
              <w:t>1400 – 1680</w:t>
            </w:r>
          </w:p>
        </w:tc>
        <w:tc>
          <w:tcPr>
            <w:tcW w:w="1489" w:type="dxa"/>
            <w:tcBorders>
              <w:top w:val="single" w:sz="18" w:space="0" w:color="auto"/>
              <w:left w:val="single" w:sz="4" w:space="0" w:color="auto"/>
              <w:bottom w:val="single" w:sz="4" w:space="0" w:color="auto"/>
              <w:right w:val="single" w:sz="4" w:space="0" w:color="auto"/>
            </w:tcBorders>
          </w:tcPr>
          <w:p w:rsidR="004A5782" w:rsidRPr="00025BBA" w:rsidRDefault="004A5782" w:rsidP="004A5782">
            <w:pPr>
              <w:jc w:val="center"/>
              <w:rPr>
                <w:sz w:val="20"/>
                <w:szCs w:val="20"/>
                <w:lang w:val="en-US" w:eastAsia="en-GB"/>
              </w:rPr>
            </w:pPr>
          </w:p>
          <w:p w:rsidR="004A5782" w:rsidRPr="00025BBA" w:rsidRDefault="004A5782" w:rsidP="004A5782">
            <w:pPr>
              <w:jc w:val="center"/>
              <w:rPr>
                <w:sz w:val="20"/>
                <w:szCs w:val="20"/>
                <w:lang w:val="en-US" w:eastAsia="en-GB"/>
              </w:rPr>
            </w:pPr>
            <w:r w:rsidRPr="00025BBA">
              <w:rPr>
                <w:sz w:val="20"/>
                <w:szCs w:val="20"/>
                <w:lang w:val="en-US" w:eastAsia="en-GB"/>
              </w:rPr>
              <w:t>60</w:t>
            </w:r>
          </w:p>
        </w:tc>
        <w:tc>
          <w:tcPr>
            <w:tcW w:w="1931" w:type="dxa"/>
            <w:tcBorders>
              <w:top w:val="single" w:sz="18" w:space="0" w:color="auto"/>
              <w:left w:val="single" w:sz="4" w:space="0" w:color="auto"/>
              <w:bottom w:val="single" w:sz="4" w:space="0" w:color="auto"/>
              <w:right w:val="single" w:sz="18" w:space="0" w:color="auto"/>
            </w:tcBorders>
          </w:tcPr>
          <w:p w:rsidR="004A5782" w:rsidRPr="00025BBA" w:rsidRDefault="004A5782" w:rsidP="004A5782">
            <w:pPr>
              <w:ind w:firstLine="720"/>
              <w:jc w:val="center"/>
              <w:rPr>
                <w:sz w:val="20"/>
                <w:szCs w:val="20"/>
                <w:lang w:val="en-US" w:eastAsia="en-GB"/>
              </w:rPr>
            </w:pPr>
          </w:p>
          <w:p w:rsidR="004A5782" w:rsidRPr="00025BBA" w:rsidRDefault="004A5782" w:rsidP="004A5782">
            <w:pPr>
              <w:ind w:hanging="13"/>
              <w:jc w:val="center"/>
              <w:rPr>
                <w:sz w:val="20"/>
                <w:szCs w:val="20"/>
                <w:lang w:val="en-US" w:eastAsia="en-GB"/>
              </w:rPr>
            </w:pPr>
            <w:r w:rsidRPr="00025BBA">
              <w:rPr>
                <w:sz w:val="20"/>
                <w:szCs w:val="20"/>
                <w:lang w:val="en-US" w:eastAsia="en-GB"/>
              </w:rPr>
              <w:t xml:space="preserve">180 -240 </w:t>
            </w:r>
            <w:r w:rsidR="00CC68EB" w:rsidRPr="00025BBA">
              <w:rPr>
                <w:sz w:val="20"/>
                <w:szCs w:val="20"/>
                <w:lang w:val="en-US" w:eastAsia="en-GB"/>
              </w:rPr>
              <w:t>ECTS</w:t>
            </w:r>
          </w:p>
          <w:p w:rsidR="004A5782" w:rsidRPr="00025BBA" w:rsidRDefault="004A5782" w:rsidP="00CC68EB">
            <w:pPr>
              <w:ind w:hanging="13"/>
              <w:jc w:val="center"/>
              <w:rPr>
                <w:sz w:val="20"/>
                <w:szCs w:val="20"/>
                <w:lang w:val="en-US" w:eastAsia="en-GB"/>
              </w:rPr>
            </w:pPr>
            <w:r w:rsidRPr="00025BBA">
              <w:rPr>
                <w:sz w:val="20"/>
                <w:szCs w:val="20"/>
                <w:lang w:val="en-US" w:eastAsia="en-GB"/>
              </w:rPr>
              <w:t xml:space="preserve">3 -  4 </w:t>
            </w:r>
            <w:r w:rsidR="00CC68EB" w:rsidRPr="00025BBA">
              <w:rPr>
                <w:sz w:val="20"/>
                <w:szCs w:val="20"/>
                <w:lang w:val="en-US" w:eastAsia="en-GB"/>
              </w:rPr>
              <w:t>years</w:t>
            </w:r>
          </w:p>
        </w:tc>
      </w:tr>
      <w:tr w:rsidR="00CC68EB" w:rsidRPr="00025BBA" w:rsidTr="0031508C">
        <w:trPr>
          <w:trHeight w:val="864"/>
        </w:trPr>
        <w:tc>
          <w:tcPr>
            <w:tcW w:w="1920" w:type="dxa"/>
            <w:tcBorders>
              <w:top w:val="single" w:sz="4" w:space="0" w:color="auto"/>
              <w:left w:val="single" w:sz="18" w:space="0" w:color="auto"/>
              <w:bottom w:val="single" w:sz="18" w:space="0" w:color="auto"/>
              <w:right w:val="single" w:sz="4" w:space="0" w:color="auto"/>
            </w:tcBorders>
            <w:shd w:val="pct10" w:color="auto" w:fill="auto"/>
            <w:hideMark/>
          </w:tcPr>
          <w:p w:rsidR="004A5782" w:rsidRPr="00025BBA" w:rsidRDefault="00E56505" w:rsidP="00CC68EB">
            <w:pPr>
              <w:ind w:firstLine="34"/>
              <w:rPr>
                <w:b/>
                <w:sz w:val="20"/>
                <w:szCs w:val="20"/>
                <w:lang w:val="en-US" w:eastAsia="en-GB"/>
              </w:rPr>
            </w:pPr>
            <w:r w:rsidRPr="00025BBA">
              <w:rPr>
                <w:b/>
                <w:sz w:val="20"/>
                <w:szCs w:val="20"/>
                <w:lang w:val="en-US" w:eastAsia="en-GB"/>
              </w:rPr>
              <w:t>Second cycle</w:t>
            </w:r>
            <w:r w:rsidR="004A5782" w:rsidRPr="00025BBA">
              <w:rPr>
                <w:b/>
                <w:sz w:val="20"/>
                <w:szCs w:val="20"/>
                <w:lang w:val="en-US" w:eastAsia="en-GB"/>
              </w:rPr>
              <w:t xml:space="preserve"> – </w:t>
            </w:r>
            <w:r w:rsidR="00CC68EB" w:rsidRPr="00025BBA">
              <w:rPr>
                <w:b/>
                <w:sz w:val="20"/>
                <w:szCs w:val="20"/>
                <w:lang w:val="en-US" w:eastAsia="en-GB"/>
              </w:rPr>
              <w:t>(post) graduate studies</w:t>
            </w:r>
          </w:p>
        </w:tc>
        <w:tc>
          <w:tcPr>
            <w:tcW w:w="1440" w:type="dxa"/>
            <w:tcBorders>
              <w:top w:val="single" w:sz="4" w:space="0" w:color="auto"/>
              <w:left w:val="single" w:sz="4" w:space="0" w:color="auto"/>
              <w:bottom w:val="single" w:sz="18" w:space="0" w:color="auto"/>
              <w:right w:val="single" w:sz="4" w:space="0" w:color="auto"/>
            </w:tcBorders>
          </w:tcPr>
          <w:p w:rsidR="004A5782" w:rsidRPr="00025BBA" w:rsidRDefault="004A5782" w:rsidP="004A5782">
            <w:pPr>
              <w:ind w:firstLine="720"/>
              <w:jc w:val="center"/>
              <w:rPr>
                <w:sz w:val="20"/>
                <w:szCs w:val="20"/>
                <w:lang w:val="en-US" w:eastAsia="en-GB"/>
              </w:rPr>
            </w:pPr>
          </w:p>
          <w:p w:rsidR="004A5782" w:rsidRPr="00025BBA" w:rsidRDefault="004A5782" w:rsidP="004A5782">
            <w:pPr>
              <w:jc w:val="center"/>
              <w:rPr>
                <w:sz w:val="20"/>
                <w:szCs w:val="20"/>
                <w:lang w:val="en-US" w:eastAsia="en-GB"/>
              </w:rPr>
            </w:pPr>
            <w:r w:rsidRPr="00025BBA">
              <w:rPr>
                <w:sz w:val="20"/>
                <w:szCs w:val="20"/>
                <w:lang w:val="en-US" w:eastAsia="en-GB"/>
              </w:rPr>
              <w:t>46 – 50</w:t>
            </w:r>
          </w:p>
        </w:tc>
        <w:tc>
          <w:tcPr>
            <w:tcW w:w="1860" w:type="dxa"/>
            <w:tcBorders>
              <w:top w:val="single" w:sz="4" w:space="0" w:color="auto"/>
              <w:left w:val="single" w:sz="4" w:space="0" w:color="auto"/>
              <w:bottom w:val="single" w:sz="18" w:space="0" w:color="auto"/>
              <w:right w:val="single" w:sz="4" w:space="0" w:color="auto"/>
            </w:tcBorders>
          </w:tcPr>
          <w:p w:rsidR="004A5782" w:rsidRPr="00025BBA" w:rsidRDefault="004A5782" w:rsidP="004A5782">
            <w:pPr>
              <w:ind w:firstLine="720"/>
              <w:jc w:val="center"/>
              <w:rPr>
                <w:sz w:val="20"/>
                <w:szCs w:val="20"/>
                <w:lang w:val="en-US" w:eastAsia="en-GB"/>
              </w:rPr>
            </w:pPr>
          </w:p>
          <w:p w:rsidR="004A5782" w:rsidRPr="00025BBA" w:rsidRDefault="004A5782" w:rsidP="004A5782">
            <w:pPr>
              <w:jc w:val="center"/>
              <w:rPr>
                <w:sz w:val="20"/>
                <w:szCs w:val="20"/>
                <w:lang w:val="en-US" w:eastAsia="en-GB"/>
              </w:rPr>
            </w:pPr>
            <w:r w:rsidRPr="00025BBA">
              <w:rPr>
                <w:sz w:val="20"/>
                <w:szCs w:val="20"/>
                <w:lang w:val="en-US" w:eastAsia="en-GB"/>
              </w:rPr>
              <w:t>1500 – 1600</w:t>
            </w:r>
          </w:p>
        </w:tc>
        <w:tc>
          <w:tcPr>
            <w:tcW w:w="1489" w:type="dxa"/>
            <w:tcBorders>
              <w:top w:val="single" w:sz="4" w:space="0" w:color="auto"/>
              <w:left w:val="single" w:sz="4" w:space="0" w:color="auto"/>
              <w:bottom w:val="single" w:sz="18" w:space="0" w:color="auto"/>
              <w:right w:val="single" w:sz="4" w:space="0" w:color="auto"/>
            </w:tcBorders>
          </w:tcPr>
          <w:p w:rsidR="004A5782" w:rsidRPr="00025BBA" w:rsidRDefault="004A5782" w:rsidP="004A5782">
            <w:pPr>
              <w:jc w:val="center"/>
              <w:rPr>
                <w:sz w:val="20"/>
                <w:szCs w:val="20"/>
                <w:lang w:val="en-US" w:eastAsia="en-GB"/>
              </w:rPr>
            </w:pPr>
          </w:p>
          <w:p w:rsidR="004A5782" w:rsidRPr="00025BBA" w:rsidRDefault="004A5782" w:rsidP="004A5782">
            <w:pPr>
              <w:jc w:val="center"/>
              <w:rPr>
                <w:sz w:val="20"/>
                <w:szCs w:val="20"/>
                <w:lang w:val="en-US" w:eastAsia="en-GB"/>
              </w:rPr>
            </w:pPr>
            <w:r w:rsidRPr="00025BBA">
              <w:rPr>
                <w:sz w:val="20"/>
                <w:szCs w:val="20"/>
                <w:lang w:val="en-US" w:eastAsia="en-GB"/>
              </w:rPr>
              <w:t>60 -75</w:t>
            </w:r>
          </w:p>
        </w:tc>
        <w:tc>
          <w:tcPr>
            <w:tcW w:w="1931" w:type="dxa"/>
            <w:tcBorders>
              <w:top w:val="single" w:sz="4" w:space="0" w:color="auto"/>
              <w:left w:val="single" w:sz="4" w:space="0" w:color="auto"/>
              <w:bottom w:val="single" w:sz="18" w:space="0" w:color="auto"/>
              <w:right w:val="single" w:sz="18" w:space="0" w:color="auto"/>
            </w:tcBorders>
          </w:tcPr>
          <w:p w:rsidR="004A5782" w:rsidRPr="00025BBA" w:rsidRDefault="004A5782" w:rsidP="004A5782">
            <w:pPr>
              <w:ind w:firstLine="720"/>
              <w:jc w:val="center"/>
              <w:rPr>
                <w:sz w:val="20"/>
                <w:szCs w:val="20"/>
                <w:lang w:val="en-US" w:eastAsia="en-GB"/>
              </w:rPr>
            </w:pPr>
          </w:p>
          <w:p w:rsidR="004A5782" w:rsidRPr="00025BBA" w:rsidRDefault="004A5782" w:rsidP="004A5782">
            <w:pPr>
              <w:ind w:hanging="13"/>
              <w:jc w:val="center"/>
              <w:rPr>
                <w:sz w:val="20"/>
                <w:szCs w:val="20"/>
                <w:lang w:val="en-US" w:eastAsia="en-GB"/>
              </w:rPr>
            </w:pPr>
            <w:r w:rsidRPr="00025BBA">
              <w:rPr>
                <w:sz w:val="20"/>
                <w:szCs w:val="20"/>
                <w:lang w:val="en-US" w:eastAsia="en-GB"/>
              </w:rPr>
              <w:t xml:space="preserve">120 -150 </w:t>
            </w:r>
            <w:r w:rsidR="00CC68EB" w:rsidRPr="00025BBA">
              <w:rPr>
                <w:sz w:val="20"/>
                <w:szCs w:val="20"/>
                <w:lang w:val="en-US" w:eastAsia="en-GB"/>
              </w:rPr>
              <w:t>ECTS</w:t>
            </w:r>
          </w:p>
          <w:p w:rsidR="004A5782" w:rsidRPr="00025BBA" w:rsidRDefault="004A5782" w:rsidP="00CC68EB">
            <w:pPr>
              <w:ind w:hanging="13"/>
              <w:jc w:val="center"/>
              <w:rPr>
                <w:sz w:val="20"/>
                <w:szCs w:val="20"/>
                <w:lang w:val="en-US" w:eastAsia="en-GB"/>
              </w:rPr>
            </w:pPr>
            <w:r w:rsidRPr="00025BBA">
              <w:rPr>
                <w:sz w:val="20"/>
                <w:szCs w:val="20"/>
                <w:lang w:val="en-US" w:eastAsia="en-GB"/>
              </w:rPr>
              <w:t xml:space="preserve">2 - 2,5 </w:t>
            </w:r>
            <w:r w:rsidR="00CC68EB" w:rsidRPr="00025BBA">
              <w:rPr>
                <w:sz w:val="20"/>
                <w:szCs w:val="20"/>
                <w:lang w:val="en-US" w:eastAsia="en-GB"/>
              </w:rPr>
              <w:t>years</w:t>
            </w:r>
          </w:p>
        </w:tc>
      </w:tr>
    </w:tbl>
    <w:p w:rsidR="004A5782" w:rsidRPr="00025BBA" w:rsidRDefault="004A5782" w:rsidP="004A5782">
      <w:pPr>
        <w:ind w:firstLine="720"/>
        <w:rPr>
          <w:sz w:val="20"/>
          <w:szCs w:val="20"/>
          <w:lang w:val="en-US" w:eastAsia="en-GB"/>
        </w:rPr>
      </w:pPr>
    </w:p>
    <w:p w:rsidR="00227D21" w:rsidRDefault="00227D21" w:rsidP="00227D21">
      <w:pPr>
        <w:ind w:firstLine="720"/>
        <w:rPr>
          <w:lang w:val="en-US" w:eastAsia="en-GB"/>
        </w:rPr>
      </w:pPr>
      <w:r>
        <w:t>The</w:t>
      </w:r>
      <w:r>
        <w:rPr>
          <w:lang w:val="en-US"/>
        </w:rPr>
        <w:t xml:space="preserve"> above</w:t>
      </w:r>
      <w:r>
        <w:t xml:space="preserve"> table is in accordance with the official length of the academic year of institutions and countries in Europe - beginning and end of an academic year. According to the calculation in the above data</w:t>
      </w:r>
      <w:r w:rsidR="00BF1B15">
        <w:rPr>
          <w:lang w:val="en-US"/>
        </w:rPr>
        <w:t xml:space="preserve">, the </w:t>
      </w:r>
      <w:r w:rsidRPr="00CB1F6A">
        <w:rPr>
          <w:lang w:val="en-US"/>
        </w:rPr>
        <w:t>dur</w:t>
      </w:r>
      <w:r w:rsidR="00BF1B15" w:rsidRPr="00CB1F6A">
        <w:rPr>
          <w:lang w:val="en-US"/>
        </w:rPr>
        <w:t>ation of</w:t>
      </w:r>
      <w:r w:rsidRPr="00CB1F6A">
        <w:rPr>
          <w:lang w:val="en-US"/>
        </w:rPr>
        <w:t xml:space="preserve"> the holiday during which students</w:t>
      </w:r>
      <w:r w:rsidR="00BF1B15" w:rsidRPr="00CB1F6A">
        <w:rPr>
          <w:lang w:val="en-US"/>
        </w:rPr>
        <w:t xml:space="preserve"> are</w:t>
      </w:r>
      <w:r w:rsidRPr="00CB1F6A">
        <w:rPr>
          <w:lang w:val="en-US"/>
        </w:rPr>
        <w:t xml:space="preserve"> normally expect</w:t>
      </w:r>
      <w:r w:rsidR="00BF1B15" w:rsidRPr="00CB1F6A">
        <w:rPr>
          <w:lang w:val="en-US"/>
        </w:rPr>
        <w:t>ed</w:t>
      </w:r>
      <w:r w:rsidRPr="00CB1F6A">
        <w:rPr>
          <w:lang w:val="en-US"/>
        </w:rPr>
        <w:t xml:space="preserve"> to continue t</w:t>
      </w:r>
      <w:r w:rsidR="00BF1B15" w:rsidRPr="00CB1F6A">
        <w:rPr>
          <w:lang w:val="en-US"/>
        </w:rPr>
        <w:t>heir</w:t>
      </w:r>
      <w:r w:rsidRPr="00CB1F6A">
        <w:rPr>
          <w:lang w:val="en-US"/>
        </w:rPr>
        <w:t xml:space="preserve"> work </w:t>
      </w:r>
      <w:r w:rsidR="00BF1B15" w:rsidRPr="00CB1F6A">
        <w:rPr>
          <w:lang w:val="en-US"/>
        </w:rPr>
        <w:t>on</w:t>
      </w:r>
      <w:r w:rsidRPr="00CB1F6A">
        <w:rPr>
          <w:lang w:val="en-US"/>
        </w:rPr>
        <w:t xml:space="preserve"> prepar</w:t>
      </w:r>
      <w:r w:rsidR="00BF1B15" w:rsidRPr="00CB1F6A">
        <w:rPr>
          <w:lang w:val="en-US"/>
        </w:rPr>
        <w:t>ing</w:t>
      </w:r>
      <w:r w:rsidRPr="00CB1F6A">
        <w:rPr>
          <w:lang w:val="en-US"/>
        </w:rPr>
        <w:t xml:space="preserve"> project tasks</w:t>
      </w:r>
      <w:r>
        <w:t>, projects, etc.</w:t>
      </w:r>
    </w:p>
    <w:p w:rsidR="004A5782" w:rsidRPr="00025BBA" w:rsidRDefault="00FA0790" w:rsidP="00FA0790">
      <w:pPr>
        <w:rPr>
          <w:lang w:val="en-US" w:eastAsia="en-GB"/>
        </w:rPr>
      </w:pPr>
      <w:r>
        <w:t xml:space="preserve">Most European countries fit within the </w:t>
      </w:r>
      <w:r w:rsidRPr="00FA0790">
        <w:rPr>
          <w:b/>
        </w:rPr>
        <w:t>34</w:t>
      </w:r>
      <w:r>
        <w:t xml:space="preserve"> to </w:t>
      </w:r>
      <w:r w:rsidRPr="00FA0790">
        <w:rPr>
          <w:b/>
        </w:rPr>
        <w:t>40</w:t>
      </w:r>
      <w:r>
        <w:t xml:space="preserve"> </w:t>
      </w:r>
      <w:r w:rsidRPr="00FA0790">
        <w:rPr>
          <w:b/>
        </w:rPr>
        <w:t>weeks a year</w:t>
      </w:r>
      <w:r>
        <w:t>. If we accept that a study/ work</w:t>
      </w:r>
      <w:proofErr w:type="spellStart"/>
      <w:r>
        <w:rPr>
          <w:lang w:val="en-US"/>
        </w:rPr>
        <w:t>ing</w:t>
      </w:r>
      <w:proofErr w:type="spellEnd"/>
      <w:r>
        <w:t xml:space="preserve"> week contains </w:t>
      </w:r>
      <w:r w:rsidRPr="00FA0790">
        <w:rPr>
          <w:b/>
        </w:rPr>
        <w:t>40 to 42 hours</w:t>
      </w:r>
      <w:r>
        <w:t xml:space="preserve">, then the practical number of hours </w:t>
      </w:r>
      <w:r w:rsidR="008A6EFB">
        <w:rPr>
          <w:lang w:val="en-US"/>
        </w:rPr>
        <w:t xml:space="preserve">during </w:t>
      </w:r>
      <w:r>
        <w:t xml:space="preserve">which </w:t>
      </w:r>
      <w:r>
        <w:rPr>
          <w:lang w:val="en-US"/>
        </w:rPr>
        <w:t xml:space="preserve">a </w:t>
      </w:r>
      <w:r>
        <w:t xml:space="preserve">student is expected to </w:t>
      </w:r>
      <w:r w:rsidR="008A6EFB">
        <w:rPr>
          <w:lang w:val="en-US"/>
        </w:rPr>
        <w:t>work in the course of one</w:t>
      </w:r>
      <w:r>
        <w:t xml:space="preserve"> academic year ranges fro</w:t>
      </w:r>
      <w:r w:rsidR="008A6EFB">
        <w:t>m 1400 to 1680 (</w:t>
      </w:r>
      <w:r w:rsidR="008A6EFB" w:rsidRPr="008A6EFB">
        <w:rPr>
          <w:i/>
        </w:rPr>
        <w:t>an average of 1</w:t>
      </w:r>
      <w:r w:rsidRPr="008A6EFB">
        <w:rPr>
          <w:i/>
        </w:rPr>
        <w:t>520 hours per year</w:t>
      </w:r>
      <w:r>
        <w:t xml:space="preserve">). Given that an academic year contains </w:t>
      </w:r>
      <w:r w:rsidRPr="008A6EFB">
        <w:rPr>
          <w:b/>
        </w:rPr>
        <w:t>60 ECTS</w:t>
      </w:r>
      <w:r>
        <w:t xml:space="preserve"> credits, one credit</w:t>
      </w:r>
      <w:r w:rsidR="008A6EFB">
        <w:rPr>
          <w:lang w:val="en-US"/>
        </w:rPr>
        <w:t xml:space="preserve"> then</w:t>
      </w:r>
      <w:r>
        <w:t xml:space="preserve"> contains about </w:t>
      </w:r>
      <w:r w:rsidRPr="008A6EFB">
        <w:rPr>
          <w:b/>
        </w:rPr>
        <w:t>25 to 30</w:t>
      </w:r>
      <w:r>
        <w:t xml:space="preserve"> hours </w:t>
      </w:r>
      <w:r w:rsidR="008A6EFB">
        <w:rPr>
          <w:lang w:val="en-US"/>
        </w:rPr>
        <w:t xml:space="preserve">of student </w:t>
      </w:r>
      <w:r>
        <w:t>load.</w:t>
      </w:r>
    </w:p>
    <w:p w:rsidR="005A29B8" w:rsidRDefault="005A29B8" w:rsidP="005A29B8">
      <w:pPr>
        <w:rPr>
          <w:lang w:val="en-US" w:eastAsia="en-GB"/>
        </w:rPr>
      </w:pPr>
      <w:r>
        <w:rPr>
          <w:lang w:val="en-US" w:eastAsia="en-GB"/>
        </w:rPr>
        <w:lastRenderedPageBreak/>
        <w:t xml:space="preserve">There are programs, for example in Great Britain and Ireland, where a normal academic year has </w:t>
      </w:r>
      <w:r w:rsidRPr="005A29B8">
        <w:rPr>
          <w:b/>
          <w:lang w:val="en-US" w:eastAsia="en-GB"/>
        </w:rPr>
        <w:t>46 do 50</w:t>
      </w:r>
      <w:r>
        <w:rPr>
          <w:lang w:val="en-US" w:eastAsia="en-GB"/>
        </w:rPr>
        <w:t xml:space="preserve"> working weeks and students are engaged in the course of the entire calendar year.</w:t>
      </w:r>
      <w:r w:rsidR="004A5782" w:rsidRPr="00025BBA">
        <w:rPr>
          <w:lang w:val="en-US" w:eastAsia="en-GB"/>
        </w:rPr>
        <w:t xml:space="preserve"> </w:t>
      </w:r>
      <w:r>
        <w:rPr>
          <w:lang w:val="en-US" w:eastAsia="en-GB"/>
        </w:rPr>
        <w:t xml:space="preserve">Such examples are relevant for the programs of the second cycle where </w:t>
      </w:r>
      <w:r w:rsidRPr="005A29B8">
        <w:rPr>
          <w:b/>
          <w:lang w:val="en-US" w:eastAsia="en-GB"/>
        </w:rPr>
        <w:t>75 ECTS</w:t>
      </w:r>
      <w:r>
        <w:rPr>
          <w:lang w:val="en-US" w:eastAsia="en-GB"/>
        </w:rPr>
        <w:t xml:space="preserve"> credits are gained. It should be pointed out that a structure of an academic year containing a greater number of credits than this is undesirable.</w:t>
      </w:r>
    </w:p>
    <w:p w:rsidR="005A29B8" w:rsidRDefault="005A29B8" w:rsidP="005A29B8">
      <w:pPr>
        <w:rPr>
          <w:lang w:val="en-US" w:eastAsia="en-GB"/>
        </w:rPr>
      </w:pPr>
      <w:r>
        <w:t xml:space="preserve">The study program </w:t>
      </w:r>
      <w:r>
        <w:rPr>
          <w:lang w:val="en-US"/>
        </w:rPr>
        <w:t xml:space="preserve">for </w:t>
      </w:r>
      <w:r>
        <w:t xml:space="preserve">part-time students </w:t>
      </w:r>
      <w:r>
        <w:rPr>
          <w:lang w:val="en-US"/>
        </w:rPr>
        <w:t>anticipates</w:t>
      </w:r>
      <w:r>
        <w:t xml:space="preserve"> </w:t>
      </w:r>
      <w:r w:rsidRPr="005A29B8">
        <w:rPr>
          <w:b/>
        </w:rPr>
        <w:t>45 ECTS</w:t>
      </w:r>
      <w:r>
        <w:t xml:space="preserve"> credits per year</w:t>
      </w:r>
      <w:r>
        <w:rPr>
          <w:lang w:val="en-US"/>
        </w:rPr>
        <w:t>;</w:t>
      </w:r>
      <w:r>
        <w:t xml:space="preserve"> four years </w:t>
      </w:r>
      <w:r>
        <w:rPr>
          <w:lang w:val="en-US"/>
        </w:rPr>
        <w:t xml:space="preserve">of </w:t>
      </w:r>
      <w:r>
        <w:t>study</w:t>
      </w:r>
      <w:r>
        <w:rPr>
          <w:lang w:val="en-US"/>
        </w:rPr>
        <w:t xml:space="preserve"> for</w:t>
      </w:r>
      <w:r>
        <w:t xml:space="preserve"> part-time students are equal to three years </w:t>
      </w:r>
      <w:r>
        <w:rPr>
          <w:lang w:val="en-US"/>
        </w:rPr>
        <w:t>of study for regular</w:t>
      </w:r>
      <w:r>
        <w:t xml:space="preserve"> studies (</w:t>
      </w:r>
      <w:r>
        <w:rPr>
          <w:lang w:val="en-US"/>
        </w:rPr>
        <w:t xml:space="preserve">full time </w:t>
      </w:r>
      <w:r>
        <w:t>students).</w:t>
      </w:r>
    </w:p>
    <w:p w:rsidR="005A29B8" w:rsidRDefault="005A29B8" w:rsidP="005A29B8">
      <w:pPr>
        <w:rPr>
          <w:lang w:val="en-US" w:eastAsia="en-GB"/>
        </w:rPr>
      </w:pPr>
    </w:p>
    <w:p w:rsidR="005A29B8" w:rsidRDefault="005A29B8" w:rsidP="005A29B8">
      <w:pPr>
        <w:rPr>
          <w:lang w:val="en-US" w:eastAsia="en-GB"/>
        </w:rPr>
      </w:pPr>
    </w:p>
    <w:p w:rsidR="00C12CE3" w:rsidRPr="00025BBA" w:rsidRDefault="00E56505" w:rsidP="005A29B8">
      <w:pPr>
        <w:rPr>
          <w:b/>
          <w:u w:val="single"/>
          <w:lang w:val="en-US" w:eastAsia="en-GB"/>
        </w:rPr>
      </w:pPr>
      <w:r w:rsidRPr="00025BBA">
        <w:rPr>
          <w:b/>
          <w:u w:val="single"/>
          <w:lang w:val="en-US" w:eastAsia="en-GB"/>
        </w:rPr>
        <w:t>References</w:t>
      </w:r>
    </w:p>
    <w:p w:rsidR="00C12CE3" w:rsidRPr="00025BBA" w:rsidRDefault="00C12CE3" w:rsidP="004A5782">
      <w:pPr>
        <w:ind w:firstLine="720"/>
        <w:rPr>
          <w:lang w:val="en-US" w:eastAsia="en-GB"/>
        </w:rPr>
      </w:pPr>
    </w:p>
    <w:p w:rsidR="004A5782" w:rsidRPr="00025BBA" w:rsidRDefault="004A5782" w:rsidP="005259A6">
      <w:pPr>
        <w:rPr>
          <w:sz w:val="20"/>
          <w:szCs w:val="20"/>
          <w:lang w:val="en-US" w:eastAsia="en-GB"/>
        </w:rPr>
      </w:pPr>
    </w:p>
    <w:p w:rsidR="005259A6" w:rsidRPr="00025BBA" w:rsidRDefault="005259A6" w:rsidP="005259A6">
      <w:pPr>
        <w:rPr>
          <w:sz w:val="20"/>
          <w:szCs w:val="20"/>
          <w:lang w:val="en-US" w:eastAsia="en-GB"/>
        </w:rPr>
      </w:pPr>
      <w:r w:rsidRPr="00025BBA">
        <w:rPr>
          <w:sz w:val="20"/>
          <w:szCs w:val="20"/>
          <w:lang w:val="en-US" w:eastAsia="en-GB"/>
        </w:rPr>
        <w:t xml:space="preserve">[1]. AINOVE, R.F and C.A. TORRES, eds. (1992). Comparative Education, London: </w:t>
      </w:r>
      <w:proofErr w:type="spellStart"/>
      <w:r w:rsidRPr="00025BBA">
        <w:rPr>
          <w:sz w:val="20"/>
          <w:szCs w:val="20"/>
          <w:lang w:val="en-US" w:eastAsia="en-GB"/>
        </w:rPr>
        <w:t>Rowman</w:t>
      </w:r>
      <w:proofErr w:type="spellEnd"/>
      <w:r w:rsidRPr="00025BBA">
        <w:rPr>
          <w:sz w:val="20"/>
          <w:szCs w:val="20"/>
          <w:lang w:val="en-US" w:eastAsia="en-GB"/>
        </w:rPr>
        <w:t xml:space="preserve"> and Littlefield, Publishers.</w:t>
      </w:r>
    </w:p>
    <w:p w:rsidR="005259A6" w:rsidRPr="00025BBA" w:rsidRDefault="005259A6" w:rsidP="005259A6">
      <w:pPr>
        <w:rPr>
          <w:sz w:val="20"/>
          <w:szCs w:val="20"/>
          <w:lang w:val="en-US" w:eastAsia="en-GB"/>
        </w:rPr>
      </w:pPr>
      <w:r w:rsidRPr="00025BBA">
        <w:rPr>
          <w:sz w:val="20"/>
          <w:szCs w:val="20"/>
          <w:lang w:val="en-US" w:eastAsia="en-GB"/>
        </w:rPr>
        <w:t xml:space="preserve">[2]. BOOCOCK, S.S. (1995). Early Childhood Program in Other Nations: Goals and Outcomes, </w:t>
      </w:r>
      <w:proofErr w:type="gramStart"/>
      <w:r w:rsidRPr="00025BBA">
        <w:rPr>
          <w:sz w:val="20"/>
          <w:szCs w:val="20"/>
          <w:lang w:val="en-US" w:eastAsia="en-GB"/>
        </w:rPr>
        <w:t>The</w:t>
      </w:r>
      <w:proofErr w:type="gramEnd"/>
      <w:r w:rsidRPr="00025BBA">
        <w:rPr>
          <w:sz w:val="20"/>
          <w:szCs w:val="20"/>
          <w:lang w:val="en-US" w:eastAsia="en-GB"/>
        </w:rPr>
        <w:t xml:space="preserve"> Future of Children, 5(3), 94-114.</w:t>
      </w:r>
    </w:p>
    <w:p w:rsidR="005259A6" w:rsidRPr="00025BBA" w:rsidRDefault="005259A6" w:rsidP="005259A6">
      <w:pPr>
        <w:rPr>
          <w:sz w:val="20"/>
          <w:szCs w:val="20"/>
          <w:lang w:val="en-US" w:eastAsia="en-GB"/>
        </w:rPr>
      </w:pPr>
      <w:r w:rsidRPr="00025BBA">
        <w:rPr>
          <w:sz w:val="20"/>
          <w:szCs w:val="20"/>
          <w:lang w:val="en-US" w:eastAsia="en-GB"/>
        </w:rPr>
        <w:t xml:space="preserve">[3]. COLIN J, M. (1992). </w:t>
      </w:r>
      <w:proofErr w:type="spellStart"/>
      <w:r w:rsidRPr="00025BBA">
        <w:rPr>
          <w:sz w:val="20"/>
          <w:szCs w:val="20"/>
          <w:lang w:val="en-US" w:eastAsia="en-GB"/>
        </w:rPr>
        <w:t>Kurikulum</w:t>
      </w:r>
      <w:proofErr w:type="spellEnd"/>
      <w:r w:rsidRPr="00025BBA">
        <w:rPr>
          <w:sz w:val="20"/>
          <w:szCs w:val="20"/>
          <w:lang w:val="en-US" w:eastAsia="en-GB"/>
        </w:rPr>
        <w:t xml:space="preserve">, </w:t>
      </w:r>
      <w:proofErr w:type="spellStart"/>
      <w:r w:rsidRPr="00025BBA">
        <w:rPr>
          <w:sz w:val="20"/>
          <w:szCs w:val="20"/>
          <w:lang w:val="en-US" w:eastAsia="en-GB"/>
        </w:rPr>
        <w:t>temeljni</w:t>
      </w:r>
      <w:proofErr w:type="spellEnd"/>
      <w:r w:rsidRPr="00025BBA">
        <w:rPr>
          <w:sz w:val="20"/>
          <w:szCs w:val="20"/>
          <w:lang w:val="en-US" w:eastAsia="en-GB"/>
        </w:rPr>
        <w:t xml:space="preserve"> </w:t>
      </w:r>
      <w:proofErr w:type="spellStart"/>
      <w:r w:rsidRPr="00025BBA">
        <w:rPr>
          <w:sz w:val="20"/>
          <w:szCs w:val="20"/>
          <w:lang w:val="en-US" w:eastAsia="en-GB"/>
        </w:rPr>
        <w:t>pojmovi</w:t>
      </w:r>
      <w:proofErr w:type="spellEnd"/>
      <w:r w:rsidR="00687F1B">
        <w:rPr>
          <w:sz w:val="20"/>
          <w:szCs w:val="20"/>
          <w:lang w:val="en-US" w:eastAsia="en-GB"/>
        </w:rPr>
        <w:t xml:space="preserve"> [Curriculum, basic notions]</w:t>
      </w:r>
      <w:r w:rsidRPr="00025BBA">
        <w:rPr>
          <w:sz w:val="20"/>
          <w:szCs w:val="20"/>
          <w:lang w:val="en-US" w:eastAsia="en-GB"/>
        </w:rPr>
        <w:t xml:space="preserve">, Zagreb: </w:t>
      </w:r>
      <w:proofErr w:type="spellStart"/>
      <w:r w:rsidRPr="00025BBA">
        <w:rPr>
          <w:sz w:val="20"/>
          <w:szCs w:val="20"/>
          <w:lang w:val="en-US" w:eastAsia="en-GB"/>
        </w:rPr>
        <w:t>Educa</w:t>
      </w:r>
      <w:proofErr w:type="spellEnd"/>
      <w:r w:rsidRPr="00025BBA">
        <w:rPr>
          <w:sz w:val="20"/>
          <w:szCs w:val="20"/>
          <w:lang w:val="en-US" w:eastAsia="en-GB"/>
        </w:rPr>
        <w:t>.</w:t>
      </w:r>
    </w:p>
    <w:p w:rsidR="005259A6" w:rsidRPr="00025BBA" w:rsidRDefault="005259A6" w:rsidP="005259A6">
      <w:pPr>
        <w:rPr>
          <w:sz w:val="20"/>
          <w:szCs w:val="20"/>
          <w:lang w:val="en-US" w:eastAsia="en-GB"/>
        </w:rPr>
      </w:pPr>
      <w:r w:rsidRPr="00025BBA">
        <w:rPr>
          <w:sz w:val="20"/>
          <w:szCs w:val="20"/>
          <w:lang w:val="en-US" w:eastAsia="en-GB"/>
        </w:rPr>
        <w:t>[4]. CENTER FOR HIGHER EDUCATION POLICY STUDIES (CHEPS), the Netherlands: The extent and impact of higher education</w:t>
      </w:r>
      <w:r w:rsidR="00D47FC4">
        <w:rPr>
          <w:sz w:val="20"/>
          <w:szCs w:val="20"/>
          <w:lang w:val="en-US" w:eastAsia="en-GB"/>
        </w:rPr>
        <w:t xml:space="preserve"> </w:t>
      </w:r>
      <w:r w:rsidRPr="00025BBA">
        <w:rPr>
          <w:sz w:val="20"/>
          <w:szCs w:val="20"/>
          <w:lang w:val="en-US" w:eastAsia="en-GB"/>
        </w:rPr>
        <w:t xml:space="preserve">reforms across Europe. </w:t>
      </w:r>
      <w:proofErr w:type="gramStart"/>
      <w:r w:rsidRPr="00025BBA">
        <w:rPr>
          <w:sz w:val="20"/>
          <w:szCs w:val="20"/>
          <w:lang w:val="en-US" w:eastAsia="en-GB"/>
        </w:rPr>
        <w:t>Final report to DG Education and Culture.</w:t>
      </w:r>
      <w:proofErr w:type="gramEnd"/>
      <w:r w:rsidRPr="00025BBA">
        <w:rPr>
          <w:sz w:val="20"/>
          <w:szCs w:val="20"/>
          <w:lang w:val="en-US" w:eastAsia="en-GB"/>
        </w:rPr>
        <w:t xml:space="preserve"> (2007), p. 39-42</w:t>
      </w:r>
    </w:p>
    <w:p w:rsidR="005259A6" w:rsidRPr="00025BBA" w:rsidRDefault="005259A6" w:rsidP="005259A6">
      <w:pPr>
        <w:rPr>
          <w:sz w:val="20"/>
          <w:szCs w:val="20"/>
          <w:lang w:val="en-US" w:eastAsia="en-GB"/>
        </w:rPr>
      </w:pPr>
      <w:r w:rsidRPr="00025BBA">
        <w:rPr>
          <w:sz w:val="20"/>
          <w:szCs w:val="20"/>
          <w:lang w:val="en-US" w:eastAsia="en-GB"/>
        </w:rPr>
        <w:t xml:space="preserve">[5]. DIRECTORATE-GENERAL FOR EDUCATION AND CULTURE. </w:t>
      </w:r>
      <w:proofErr w:type="gramStart"/>
      <w:r w:rsidRPr="00025BBA">
        <w:rPr>
          <w:sz w:val="20"/>
          <w:szCs w:val="20"/>
          <w:lang w:val="en-US" w:eastAsia="en-GB"/>
        </w:rPr>
        <w:t>Common European Principles for Teacher Competences and Qualifications.</w:t>
      </w:r>
      <w:proofErr w:type="gramEnd"/>
      <w:r w:rsidRPr="00025BBA">
        <w:rPr>
          <w:sz w:val="20"/>
          <w:szCs w:val="20"/>
          <w:lang w:val="en-US" w:eastAsia="en-GB"/>
        </w:rPr>
        <w:t xml:space="preserve"> Brussels: European Commission, 2005.</w:t>
      </w:r>
    </w:p>
    <w:p w:rsidR="005259A6" w:rsidRPr="00025BBA" w:rsidRDefault="005259A6" w:rsidP="005259A6">
      <w:pPr>
        <w:rPr>
          <w:sz w:val="20"/>
          <w:szCs w:val="20"/>
          <w:lang w:val="en-US" w:eastAsia="en-GB"/>
        </w:rPr>
      </w:pPr>
      <w:r w:rsidRPr="00025BBA">
        <w:rPr>
          <w:sz w:val="20"/>
          <w:szCs w:val="20"/>
          <w:lang w:val="en-US" w:eastAsia="en-GB"/>
        </w:rPr>
        <w:t>[6]. EISENSMITH, E. (2007): Induction and the teacher professional development: an Estonian project.</w:t>
      </w:r>
    </w:p>
    <w:p w:rsidR="005259A6" w:rsidRPr="00025BBA" w:rsidRDefault="005259A6" w:rsidP="005259A6">
      <w:pPr>
        <w:rPr>
          <w:sz w:val="20"/>
          <w:szCs w:val="20"/>
          <w:lang w:val="en-US" w:eastAsia="en-GB"/>
        </w:rPr>
      </w:pPr>
      <w:r w:rsidRPr="00025BBA">
        <w:rPr>
          <w:sz w:val="20"/>
          <w:szCs w:val="20"/>
          <w:lang w:val="en-US" w:eastAsia="en-GB"/>
        </w:rPr>
        <w:t>[7]. Education Practitioners and Teaching/Learning practices in SEE countries, (2006), ATIONAL-REPOTR</w:t>
      </w:r>
      <w:proofErr w:type="gramStart"/>
      <w:r w:rsidRPr="00025BBA">
        <w:rPr>
          <w:sz w:val="20"/>
          <w:szCs w:val="20"/>
          <w:lang w:val="en-US" w:eastAsia="en-GB"/>
        </w:rPr>
        <w:t>,  Skopje</w:t>
      </w:r>
      <w:proofErr w:type="gramEnd"/>
    </w:p>
    <w:p w:rsidR="005259A6" w:rsidRPr="00025BBA" w:rsidRDefault="005259A6" w:rsidP="005259A6">
      <w:pPr>
        <w:rPr>
          <w:sz w:val="20"/>
          <w:szCs w:val="20"/>
          <w:lang w:val="en-US" w:eastAsia="en-GB"/>
        </w:rPr>
      </w:pPr>
      <w:r w:rsidRPr="00025BBA">
        <w:rPr>
          <w:sz w:val="20"/>
          <w:szCs w:val="20"/>
          <w:lang w:val="en-US" w:eastAsia="en-GB"/>
        </w:rPr>
        <w:t xml:space="preserve">[8]. ЕНЦИКЛОПЕДИСКИ РЕЧНИК ПЕДАГОГИЈЕ </w:t>
      </w:r>
      <w:r w:rsidR="00687F1B">
        <w:rPr>
          <w:sz w:val="20"/>
          <w:szCs w:val="20"/>
          <w:lang w:val="en-US" w:eastAsia="en-GB"/>
        </w:rPr>
        <w:t>[</w:t>
      </w:r>
      <w:r w:rsidR="00687F1B" w:rsidRPr="00687F1B">
        <w:rPr>
          <w:sz w:val="20"/>
        </w:rPr>
        <w:t>ENCYCLOPEDIC DICTIONARY</w:t>
      </w:r>
      <w:r w:rsidR="00687F1B">
        <w:rPr>
          <w:sz w:val="20"/>
          <w:szCs w:val="20"/>
          <w:lang w:val="en-US" w:eastAsia="en-GB"/>
        </w:rPr>
        <w:t xml:space="preserve"> OF PEDAGOGY]</w:t>
      </w:r>
      <w:r w:rsidR="00687F1B" w:rsidRPr="00687F1B">
        <w:rPr>
          <w:sz w:val="20"/>
          <w:szCs w:val="20"/>
          <w:lang w:val="en-US" w:eastAsia="en-GB"/>
        </w:rPr>
        <w:t xml:space="preserve"> </w:t>
      </w:r>
      <w:r w:rsidRPr="00025BBA">
        <w:rPr>
          <w:sz w:val="20"/>
          <w:szCs w:val="20"/>
          <w:lang w:val="en-US" w:eastAsia="en-GB"/>
        </w:rPr>
        <w:t xml:space="preserve">(1963) </w:t>
      </w:r>
      <w:r w:rsidR="00D47FC4">
        <w:rPr>
          <w:sz w:val="20"/>
          <w:szCs w:val="20"/>
          <w:lang w:val="en-US" w:eastAsia="en-GB"/>
        </w:rPr>
        <w:t>Zagreb</w:t>
      </w:r>
      <w:r w:rsidRPr="00025BBA">
        <w:rPr>
          <w:sz w:val="20"/>
          <w:szCs w:val="20"/>
          <w:lang w:val="en-US" w:eastAsia="en-GB"/>
        </w:rPr>
        <w:t xml:space="preserve">: </w:t>
      </w:r>
      <w:proofErr w:type="spellStart"/>
      <w:r w:rsidR="00D47FC4">
        <w:rPr>
          <w:sz w:val="20"/>
          <w:szCs w:val="20"/>
          <w:lang w:val="en-US" w:eastAsia="en-GB"/>
        </w:rPr>
        <w:t>Matica</w:t>
      </w:r>
      <w:proofErr w:type="spellEnd"/>
      <w:r w:rsidR="00D47FC4">
        <w:rPr>
          <w:sz w:val="20"/>
          <w:szCs w:val="20"/>
          <w:lang w:val="en-US" w:eastAsia="en-GB"/>
        </w:rPr>
        <w:t xml:space="preserve"> </w:t>
      </w:r>
      <w:proofErr w:type="spellStart"/>
      <w:r w:rsidR="00D47FC4">
        <w:rPr>
          <w:sz w:val="20"/>
          <w:szCs w:val="20"/>
          <w:lang w:val="en-US" w:eastAsia="en-GB"/>
        </w:rPr>
        <w:t>Hrvatska</w:t>
      </w:r>
      <w:proofErr w:type="spellEnd"/>
      <w:r w:rsidRPr="00025BBA">
        <w:rPr>
          <w:sz w:val="20"/>
          <w:szCs w:val="20"/>
          <w:lang w:val="en-US" w:eastAsia="en-GB"/>
        </w:rPr>
        <w:t>.</w:t>
      </w:r>
    </w:p>
    <w:p w:rsidR="005259A6" w:rsidRPr="00025BBA" w:rsidRDefault="005259A6" w:rsidP="005259A6">
      <w:pPr>
        <w:rPr>
          <w:sz w:val="20"/>
          <w:szCs w:val="20"/>
          <w:lang w:val="en-US" w:eastAsia="en-GB"/>
        </w:rPr>
      </w:pPr>
      <w:r w:rsidRPr="00025BBA">
        <w:rPr>
          <w:sz w:val="20"/>
          <w:szCs w:val="20"/>
          <w:lang w:val="en-US" w:eastAsia="en-GB"/>
        </w:rPr>
        <w:t xml:space="preserve">[9]. [ETUCE] (1994). </w:t>
      </w:r>
      <w:proofErr w:type="gramStart"/>
      <w:r w:rsidRPr="00025BBA">
        <w:rPr>
          <w:sz w:val="20"/>
          <w:szCs w:val="20"/>
          <w:lang w:val="en-US" w:eastAsia="en-GB"/>
        </w:rPr>
        <w:t>Teacher Education in Europe.</w:t>
      </w:r>
      <w:proofErr w:type="gramEnd"/>
      <w:r w:rsidRPr="00025BBA">
        <w:rPr>
          <w:sz w:val="20"/>
          <w:szCs w:val="20"/>
          <w:lang w:val="en-US" w:eastAsia="en-GB"/>
        </w:rPr>
        <w:t xml:space="preserve"> </w:t>
      </w:r>
      <w:proofErr w:type="spellStart"/>
      <w:r w:rsidRPr="00025BBA">
        <w:rPr>
          <w:sz w:val="20"/>
          <w:szCs w:val="20"/>
          <w:lang w:val="en-US" w:eastAsia="en-GB"/>
        </w:rPr>
        <w:t>Bruxelles</w:t>
      </w:r>
      <w:proofErr w:type="spellEnd"/>
      <w:r w:rsidRPr="00025BBA">
        <w:rPr>
          <w:sz w:val="20"/>
          <w:szCs w:val="20"/>
          <w:lang w:val="en-US" w:eastAsia="en-GB"/>
        </w:rPr>
        <w:t xml:space="preserve">: </w:t>
      </w:r>
      <w:proofErr w:type="spellStart"/>
      <w:r w:rsidRPr="00025BBA">
        <w:rPr>
          <w:sz w:val="20"/>
          <w:szCs w:val="20"/>
          <w:lang w:val="en-US" w:eastAsia="en-GB"/>
        </w:rPr>
        <w:t>Etuce</w:t>
      </w:r>
      <w:proofErr w:type="spellEnd"/>
    </w:p>
    <w:p w:rsidR="005259A6" w:rsidRPr="00025BBA" w:rsidRDefault="005259A6" w:rsidP="005259A6">
      <w:pPr>
        <w:rPr>
          <w:sz w:val="20"/>
          <w:szCs w:val="20"/>
          <w:lang w:val="en-US" w:eastAsia="en-GB"/>
        </w:rPr>
      </w:pPr>
      <w:r w:rsidRPr="00025BBA">
        <w:rPr>
          <w:sz w:val="20"/>
          <w:szCs w:val="20"/>
          <w:lang w:val="en-US" w:eastAsia="en-GB"/>
        </w:rPr>
        <w:t>[10]. [EUROPEAN COMMISSION] (2005). Common European Principles for Teacher Competences and Qualifications (Draft version 7.10.2005).</w:t>
      </w:r>
    </w:p>
    <w:p w:rsidR="005259A6" w:rsidRPr="00025BBA" w:rsidRDefault="005259A6" w:rsidP="005259A6">
      <w:pPr>
        <w:rPr>
          <w:sz w:val="20"/>
          <w:szCs w:val="20"/>
          <w:lang w:val="en-US" w:eastAsia="en-GB"/>
        </w:rPr>
      </w:pPr>
      <w:r w:rsidRPr="00025BBA">
        <w:rPr>
          <w:sz w:val="20"/>
          <w:szCs w:val="20"/>
          <w:lang w:val="en-US" w:eastAsia="en-GB"/>
        </w:rPr>
        <w:t xml:space="preserve">[11]. [EURYDICE] (2002). </w:t>
      </w:r>
      <w:proofErr w:type="gramStart"/>
      <w:r w:rsidRPr="00025BBA">
        <w:rPr>
          <w:sz w:val="20"/>
          <w:szCs w:val="20"/>
          <w:lang w:val="en-US" w:eastAsia="en-GB"/>
        </w:rPr>
        <w:t>Initial training and transition to working life.</w:t>
      </w:r>
      <w:proofErr w:type="gramEnd"/>
    </w:p>
    <w:p w:rsidR="005259A6" w:rsidRPr="00025BBA" w:rsidRDefault="005259A6" w:rsidP="005259A6">
      <w:pPr>
        <w:rPr>
          <w:sz w:val="20"/>
          <w:szCs w:val="20"/>
          <w:lang w:val="en-US" w:eastAsia="en-GB"/>
        </w:rPr>
      </w:pPr>
      <w:r w:rsidRPr="00025BBA">
        <w:rPr>
          <w:sz w:val="20"/>
          <w:szCs w:val="20"/>
          <w:lang w:val="en-US" w:eastAsia="en-GB"/>
        </w:rPr>
        <w:t xml:space="preserve">[12]. [EURYDICE] (2004). </w:t>
      </w:r>
      <w:proofErr w:type="gramStart"/>
      <w:r w:rsidRPr="00025BBA">
        <w:rPr>
          <w:sz w:val="20"/>
          <w:szCs w:val="20"/>
          <w:lang w:val="en-US" w:eastAsia="en-GB"/>
        </w:rPr>
        <w:t>Keeping teaching attractive for the 21st century.</w:t>
      </w:r>
      <w:proofErr w:type="gramEnd"/>
    </w:p>
    <w:p w:rsidR="005259A6" w:rsidRPr="00025BBA" w:rsidRDefault="005259A6" w:rsidP="005259A6">
      <w:pPr>
        <w:rPr>
          <w:sz w:val="20"/>
          <w:szCs w:val="20"/>
          <w:lang w:val="en-US" w:eastAsia="en-GB"/>
        </w:rPr>
      </w:pPr>
      <w:r w:rsidRPr="00025BBA">
        <w:rPr>
          <w:sz w:val="20"/>
          <w:szCs w:val="20"/>
          <w:lang w:val="en-US" w:eastAsia="en-GB"/>
        </w:rPr>
        <w:t xml:space="preserve">[13]. [EURYDICE] (2005). </w:t>
      </w:r>
      <w:proofErr w:type="gramStart"/>
      <w:r w:rsidRPr="00025BBA">
        <w:rPr>
          <w:sz w:val="20"/>
          <w:szCs w:val="20"/>
          <w:lang w:val="en-US" w:eastAsia="en-GB"/>
        </w:rPr>
        <w:t>Key Data in Education.</w:t>
      </w:r>
      <w:proofErr w:type="gramEnd"/>
    </w:p>
    <w:p w:rsidR="005259A6" w:rsidRPr="00025BBA" w:rsidRDefault="005259A6" w:rsidP="005259A6">
      <w:pPr>
        <w:rPr>
          <w:sz w:val="20"/>
          <w:szCs w:val="20"/>
          <w:lang w:val="en-US" w:eastAsia="en-GB"/>
        </w:rPr>
      </w:pPr>
      <w:r w:rsidRPr="00025BBA">
        <w:rPr>
          <w:sz w:val="20"/>
          <w:szCs w:val="20"/>
          <w:lang w:val="en-US" w:eastAsia="en-GB"/>
        </w:rPr>
        <w:t xml:space="preserve">[14]. [EURYDICE] (2006). </w:t>
      </w:r>
      <w:proofErr w:type="gramStart"/>
      <w:r w:rsidRPr="00025BBA">
        <w:rPr>
          <w:sz w:val="20"/>
          <w:szCs w:val="20"/>
          <w:lang w:val="en-US" w:eastAsia="en-GB"/>
        </w:rPr>
        <w:t>Quality assurance in Teacher Education in Europe.</w:t>
      </w:r>
      <w:proofErr w:type="gramEnd"/>
      <w:r w:rsidRPr="00025BBA">
        <w:rPr>
          <w:sz w:val="20"/>
          <w:szCs w:val="20"/>
          <w:lang w:val="en-US" w:eastAsia="en-GB"/>
        </w:rPr>
        <w:t xml:space="preserve"> </w:t>
      </w:r>
      <w:proofErr w:type="spellStart"/>
      <w:r w:rsidRPr="00025BBA">
        <w:rPr>
          <w:sz w:val="20"/>
          <w:szCs w:val="20"/>
          <w:lang w:val="en-US" w:eastAsia="en-GB"/>
        </w:rPr>
        <w:t>Bruxelles</w:t>
      </w:r>
      <w:proofErr w:type="spellEnd"/>
      <w:r w:rsidRPr="00025BBA">
        <w:rPr>
          <w:sz w:val="20"/>
          <w:szCs w:val="20"/>
          <w:lang w:val="en-US" w:eastAsia="en-GB"/>
        </w:rPr>
        <w:t>: Eurydice.</w:t>
      </w:r>
    </w:p>
    <w:p w:rsidR="005259A6" w:rsidRPr="00025BBA" w:rsidRDefault="00687F1B" w:rsidP="005259A6">
      <w:pPr>
        <w:rPr>
          <w:sz w:val="20"/>
          <w:szCs w:val="20"/>
          <w:lang w:val="en-US" w:eastAsia="en-GB"/>
        </w:rPr>
      </w:pPr>
      <w:r>
        <w:rPr>
          <w:sz w:val="20"/>
          <w:szCs w:val="20"/>
          <w:lang w:val="en-US" w:eastAsia="en-GB"/>
        </w:rPr>
        <w:t>[15]</w:t>
      </w:r>
      <w:proofErr w:type="gramStart"/>
      <w:r>
        <w:rPr>
          <w:sz w:val="20"/>
          <w:szCs w:val="20"/>
          <w:lang w:val="en-US" w:eastAsia="en-GB"/>
        </w:rPr>
        <w:t>.</w:t>
      </w:r>
      <w:r w:rsidR="005259A6" w:rsidRPr="00025BBA">
        <w:rPr>
          <w:sz w:val="20"/>
          <w:szCs w:val="20"/>
          <w:lang w:val="en-US" w:eastAsia="en-GB"/>
        </w:rPr>
        <w:t>[</w:t>
      </w:r>
      <w:proofErr w:type="spellStart"/>
      <w:proofErr w:type="gramEnd"/>
      <w:r w:rsidR="005259A6" w:rsidRPr="00025BBA">
        <w:rPr>
          <w:sz w:val="20"/>
          <w:szCs w:val="20"/>
          <w:lang w:val="en-US" w:eastAsia="en-GB"/>
        </w:rPr>
        <w:t>Европска</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комисија</w:t>
      </w:r>
      <w:proofErr w:type="spellEnd"/>
      <w:r w:rsidR="005259A6" w:rsidRPr="00025BBA">
        <w:rPr>
          <w:sz w:val="20"/>
          <w:szCs w:val="20"/>
          <w:lang w:val="en-US" w:eastAsia="en-GB"/>
        </w:rPr>
        <w:t xml:space="preserve">] (2005). </w:t>
      </w:r>
      <w:proofErr w:type="spellStart"/>
      <w:proofErr w:type="gramStart"/>
      <w:r w:rsidR="005259A6" w:rsidRPr="00025BBA">
        <w:rPr>
          <w:sz w:val="20"/>
          <w:szCs w:val="20"/>
          <w:lang w:val="en-US" w:eastAsia="en-GB"/>
        </w:rPr>
        <w:t>Општи</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европски</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принципи</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за</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способности</w:t>
      </w:r>
      <w:proofErr w:type="spellEnd"/>
      <w:r w:rsidR="005259A6" w:rsidRPr="00025BBA">
        <w:rPr>
          <w:sz w:val="20"/>
          <w:szCs w:val="20"/>
          <w:lang w:val="en-US" w:eastAsia="en-GB"/>
        </w:rPr>
        <w:t xml:space="preserve"> и </w:t>
      </w:r>
      <w:proofErr w:type="spellStart"/>
      <w:r w:rsidR="005259A6" w:rsidRPr="00025BBA">
        <w:rPr>
          <w:sz w:val="20"/>
          <w:szCs w:val="20"/>
          <w:lang w:val="en-US" w:eastAsia="en-GB"/>
        </w:rPr>
        <w:t>квалификации</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на</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наставниците</w:t>
      </w:r>
      <w:proofErr w:type="spellEnd"/>
      <w:r w:rsidR="005259A6" w:rsidRPr="00025BBA">
        <w:rPr>
          <w:sz w:val="20"/>
          <w:szCs w:val="20"/>
          <w:lang w:val="en-US" w:eastAsia="en-GB"/>
        </w:rPr>
        <w:t>.</w:t>
      </w:r>
      <w:proofErr w:type="gramEnd"/>
      <w:r w:rsidR="005259A6" w:rsidRPr="00025BBA">
        <w:rPr>
          <w:sz w:val="20"/>
          <w:szCs w:val="20"/>
          <w:lang w:val="en-US" w:eastAsia="en-GB"/>
        </w:rPr>
        <w:t xml:space="preserve"> </w:t>
      </w:r>
      <w:proofErr w:type="spellStart"/>
      <w:proofErr w:type="gramStart"/>
      <w:r w:rsidR="005259A6" w:rsidRPr="00025BBA">
        <w:rPr>
          <w:sz w:val="20"/>
          <w:szCs w:val="20"/>
          <w:lang w:val="en-US" w:eastAsia="en-GB"/>
        </w:rPr>
        <w:t>Европска</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комисија</w:t>
      </w:r>
      <w:proofErr w:type="spellEnd"/>
      <w:r w:rsidR="005259A6" w:rsidRPr="00025BBA">
        <w:rPr>
          <w:sz w:val="20"/>
          <w:szCs w:val="20"/>
          <w:lang w:val="en-US" w:eastAsia="en-GB"/>
        </w:rPr>
        <w:t xml:space="preserve">, </w:t>
      </w:r>
      <w:proofErr w:type="spellStart"/>
      <w:r w:rsidR="005259A6" w:rsidRPr="00025BBA">
        <w:rPr>
          <w:sz w:val="20"/>
          <w:szCs w:val="20"/>
          <w:lang w:val="en-US" w:eastAsia="en-GB"/>
        </w:rPr>
        <w:t>образование</w:t>
      </w:r>
      <w:proofErr w:type="spellEnd"/>
      <w:r w:rsidR="005259A6" w:rsidRPr="00025BBA">
        <w:rPr>
          <w:sz w:val="20"/>
          <w:szCs w:val="20"/>
          <w:lang w:val="en-US" w:eastAsia="en-GB"/>
        </w:rPr>
        <w:t xml:space="preserve"> и </w:t>
      </w:r>
      <w:proofErr w:type="spellStart"/>
      <w:r w:rsidR="005259A6" w:rsidRPr="00025BBA">
        <w:rPr>
          <w:sz w:val="20"/>
          <w:szCs w:val="20"/>
          <w:lang w:val="en-US" w:eastAsia="en-GB"/>
        </w:rPr>
        <w:t>култура</w:t>
      </w:r>
      <w:proofErr w:type="spellEnd"/>
      <w:r w:rsidR="005259A6" w:rsidRPr="00025BBA">
        <w:rPr>
          <w:sz w:val="20"/>
          <w:szCs w:val="20"/>
          <w:lang w:val="en-US" w:eastAsia="en-GB"/>
        </w:rPr>
        <w:t>.</w:t>
      </w:r>
      <w:proofErr w:type="gramEnd"/>
      <w:r w:rsidR="005259A6" w:rsidRPr="00025BBA">
        <w:rPr>
          <w:sz w:val="20"/>
          <w:szCs w:val="20"/>
          <w:lang w:val="en-US" w:eastAsia="en-GB"/>
        </w:rPr>
        <w:t xml:space="preserve"> </w:t>
      </w:r>
      <w:proofErr w:type="spellStart"/>
      <w:proofErr w:type="gramStart"/>
      <w:r w:rsidR="005259A6" w:rsidRPr="00025BBA">
        <w:rPr>
          <w:sz w:val="20"/>
          <w:szCs w:val="20"/>
          <w:lang w:val="en-US" w:eastAsia="en-GB"/>
        </w:rPr>
        <w:t>Брисел</w:t>
      </w:r>
      <w:proofErr w:type="spellEnd"/>
      <w:r w:rsidR="005259A6" w:rsidRPr="00025BBA">
        <w:rPr>
          <w:sz w:val="20"/>
          <w:szCs w:val="20"/>
          <w:lang w:val="en-US" w:eastAsia="en-GB"/>
        </w:rPr>
        <w:t xml:space="preserve"> 20-21 </w:t>
      </w:r>
      <w:proofErr w:type="spellStart"/>
      <w:r w:rsidR="005259A6" w:rsidRPr="00025BBA">
        <w:rPr>
          <w:sz w:val="20"/>
          <w:szCs w:val="20"/>
          <w:lang w:val="en-US" w:eastAsia="en-GB"/>
        </w:rPr>
        <w:t>јуни</w:t>
      </w:r>
      <w:proofErr w:type="spellEnd"/>
      <w:r w:rsidR="005259A6" w:rsidRPr="00025BBA">
        <w:rPr>
          <w:sz w:val="20"/>
          <w:szCs w:val="20"/>
          <w:lang w:val="en-US" w:eastAsia="en-GB"/>
        </w:rPr>
        <w:t xml:space="preserve"> 2005</w:t>
      </w:r>
      <w:r>
        <w:rPr>
          <w:sz w:val="20"/>
          <w:szCs w:val="20"/>
          <w:lang w:val="en-US" w:eastAsia="en-GB"/>
        </w:rPr>
        <w:t xml:space="preserve"> [</w:t>
      </w:r>
      <w:r>
        <w:rPr>
          <w:sz w:val="20"/>
        </w:rPr>
        <w:t>European Commission</w:t>
      </w:r>
      <w:r w:rsidRPr="00687F1B">
        <w:rPr>
          <w:sz w:val="20"/>
        </w:rPr>
        <w:t xml:space="preserve"> (2005).</w:t>
      </w:r>
      <w:proofErr w:type="gramEnd"/>
      <w:r w:rsidRPr="00687F1B">
        <w:rPr>
          <w:sz w:val="20"/>
        </w:rPr>
        <w:t xml:space="preserve"> Common European principles for skills and qualifications of teachers. European Commission Education and Culture. Brussels, 20-21 June 2005</w:t>
      </w:r>
      <w:r>
        <w:rPr>
          <w:sz w:val="16"/>
          <w:szCs w:val="20"/>
          <w:lang w:val="en-US" w:eastAsia="en-GB"/>
        </w:rPr>
        <w:t>]</w:t>
      </w:r>
    </w:p>
    <w:p w:rsidR="005259A6" w:rsidRPr="00025BBA" w:rsidRDefault="005259A6" w:rsidP="005259A6">
      <w:pPr>
        <w:rPr>
          <w:sz w:val="20"/>
          <w:szCs w:val="20"/>
          <w:lang w:val="en-US" w:eastAsia="en-GB"/>
        </w:rPr>
      </w:pPr>
      <w:r w:rsidRPr="00025BBA">
        <w:rPr>
          <w:sz w:val="20"/>
          <w:szCs w:val="20"/>
          <w:lang w:val="en-US" w:eastAsia="en-GB"/>
        </w:rPr>
        <w:t xml:space="preserve">[16]. Gonzales, J., </w:t>
      </w:r>
      <w:proofErr w:type="spellStart"/>
      <w:r w:rsidRPr="00025BBA">
        <w:rPr>
          <w:sz w:val="20"/>
          <w:szCs w:val="20"/>
          <w:lang w:val="en-US" w:eastAsia="en-GB"/>
        </w:rPr>
        <w:t>Wagenaar</w:t>
      </w:r>
      <w:proofErr w:type="spellEnd"/>
      <w:r w:rsidRPr="00025BBA">
        <w:rPr>
          <w:sz w:val="20"/>
          <w:szCs w:val="20"/>
          <w:lang w:val="en-US" w:eastAsia="en-GB"/>
        </w:rPr>
        <w:t xml:space="preserve">, R. (eds.) (2005). </w:t>
      </w:r>
      <w:proofErr w:type="gramStart"/>
      <w:r w:rsidRPr="00025BBA">
        <w:rPr>
          <w:sz w:val="20"/>
          <w:szCs w:val="20"/>
          <w:lang w:val="en-US" w:eastAsia="en-GB"/>
        </w:rPr>
        <w:t>Tuning Educational Structures in Europe.</w:t>
      </w:r>
      <w:proofErr w:type="gramEnd"/>
      <w:r w:rsidRPr="00025BBA">
        <w:rPr>
          <w:sz w:val="20"/>
          <w:szCs w:val="20"/>
          <w:lang w:val="en-US" w:eastAsia="en-GB"/>
        </w:rPr>
        <w:t xml:space="preserve"> II. Universities Contribution to the Bologna Process. Bilbao/Groningen: University </w:t>
      </w:r>
      <w:proofErr w:type="spellStart"/>
      <w:r w:rsidRPr="00025BBA">
        <w:rPr>
          <w:sz w:val="20"/>
          <w:szCs w:val="20"/>
          <w:lang w:val="en-US" w:eastAsia="en-GB"/>
        </w:rPr>
        <w:t>Deusto</w:t>
      </w:r>
      <w:proofErr w:type="spellEnd"/>
      <w:r w:rsidRPr="00025BBA">
        <w:rPr>
          <w:sz w:val="20"/>
          <w:szCs w:val="20"/>
          <w:lang w:val="en-US" w:eastAsia="en-GB"/>
        </w:rPr>
        <w:t>/University Groningen.</w:t>
      </w:r>
    </w:p>
    <w:p w:rsidR="005259A6" w:rsidRPr="00025BBA" w:rsidRDefault="005259A6" w:rsidP="005259A6">
      <w:pPr>
        <w:rPr>
          <w:sz w:val="20"/>
          <w:szCs w:val="20"/>
          <w:lang w:val="en-US" w:eastAsia="en-GB"/>
        </w:rPr>
      </w:pPr>
      <w:r w:rsidRPr="00025BBA">
        <w:rPr>
          <w:sz w:val="20"/>
          <w:szCs w:val="20"/>
          <w:lang w:val="en-US" w:eastAsia="en-GB"/>
        </w:rPr>
        <w:t xml:space="preserve">[17]. </w:t>
      </w:r>
      <w:proofErr w:type="spellStart"/>
      <w:r w:rsidRPr="00025BBA">
        <w:rPr>
          <w:sz w:val="20"/>
          <w:szCs w:val="20"/>
          <w:lang w:val="en-US" w:eastAsia="en-GB"/>
        </w:rPr>
        <w:t>Zgaga</w:t>
      </w:r>
      <w:proofErr w:type="spellEnd"/>
      <w:r w:rsidRPr="00025BBA">
        <w:rPr>
          <w:sz w:val="20"/>
          <w:szCs w:val="20"/>
          <w:lang w:val="en-US" w:eastAsia="en-GB"/>
        </w:rPr>
        <w:t xml:space="preserve">, P., </w:t>
      </w:r>
      <w:proofErr w:type="spellStart"/>
      <w:r w:rsidRPr="00025BBA">
        <w:rPr>
          <w:sz w:val="20"/>
          <w:szCs w:val="20"/>
          <w:lang w:val="en-US" w:eastAsia="en-GB"/>
        </w:rPr>
        <w:t>Persak</w:t>
      </w:r>
      <w:proofErr w:type="spellEnd"/>
      <w:r w:rsidRPr="00025BBA">
        <w:rPr>
          <w:sz w:val="20"/>
          <w:szCs w:val="20"/>
          <w:lang w:val="en-US" w:eastAsia="en-GB"/>
        </w:rPr>
        <w:t xml:space="preserve">, M., </w:t>
      </w:r>
      <w:proofErr w:type="spellStart"/>
      <w:r w:rsidRPr="00025BBA">
        <w:rPr>
          <w:sz w:val="20"/>
          <w:szCs w:val="20"/>
          <w:lang w:val="en-US" w:eastAsia="en-GB"/>
        </w:rPr>
        <w:t>Repac</w:t>
      </w:r>
      <w:proofErr w:type="spellEnd"/>
      <w:r w:rsidRPr="00025BBA">
        <w:rPr>
          <w:sz w:val="20"/>
          <w:szCs w:val="20"/>
          <w:lang w:val="en-US" w:eastAsia="en-GB"/>
        </w:rPr>
        <w:t xml:space="preserve">, I. (2003). </w:t>
      </w:r>
      <w:proofErr w:type="gramStart"/>
      <w:r w:rsidRPr="00025BBA">
        <w:rPr>
          <w:sz w:val="20"/>
          <w:szCs w:val="20"/>
          <w:lang w:val="en-US" w:eastAsia="en-GB"/>
        </w:rPr>
        <w:t>“Teachers’ Education and the Bologna Process.</w:t>
      </w:r>
      <w:proofErr w:type="gramEnd"/>
      <w:r w:rsidRPr="00025BBA">
        <w:rPr>
          <w:sz w:val="20"/>
          <w:szCs w:val="20"/>
          <w:lang w:val="en-US" w:eastAsia="en-GB"/>
        </w:rPr>
        <w:t xml:space="preserve"> A Survey on trends in Learning structures at institutions of Teachers’ Education”. – In </w:t>
      </w:r>
      <w:proofErr w:type="spellStart"/>
      <w:r w:rsidRPr="00025BBA">
        <w:rPr>
          <w:sz w:val="20"/>
          <w:szCs w:val="20"/>
          <w:lang w:val="en-US" w:eastAsia="en-GB"/>
        </w:rPr>
        <w:t>Buchberger</w:t>
      </w:r>
      <w:proofErr w:type="spellEnd"/>
      <w:r w:rsidRPr="00025BBA">
        <w:rPr>
          <w:sz w:val="20"/>
          <w:szCs w:val="20"/>
          <w:lang w:val="en-US" w:eastAsia="en-GB"/>
        </w:rPr>
        <w:t xml:space="preserve">, F., </w:t>
      </w:r>
      <w:proofErr w:type="spellStart"/>
      <w:r w:rsidRPr="00025BBA">
        <w:rPr>
          <w:sz w:val="20"/>
          <w:szCs w:val="20"/>
          <w:lang w:val="en-US" w:eastAsia="en-GB"/>
        </w:rPr>
        <w:t>Berghammer</w:t>
      </w:r>
      <w:proofErr w:type="spellEnd"/>
      <w:r w:rsidRPr="00025BBA">
        <w:rPr>
          <w:sz w:val="20"/>
          <w:szCs w:val="20"/>
          <w:lang w:val="en-US" w:eastAsia="en-GB"/>
        </w:rPr>
        <w:t xml:space="preserve"> S. (</w:t>
      </w:r>
      <w:proofErr w:type="spellStart"/>
      <w:r w:rsidRPr="00025BBA">
        <w:rPr>
          <w:sz w:val="20"/>
          <w:szCs w:val="20"/>
          <w:lang w:val="en-US" w:eastAsia="en-GB"/>
        </w:rPr>
        <w:t>Eds</w:t>
      </w:r>
      <w:proofErr w:type="spellEnd"/>
      <w:r w:rsidRPr="00025BBA">
        <w:rPr>
          <w:sz w:val="20"/>
          <w:szCs w:val="20"/>
          <w:lang w:val="en-US" w:eastAsia="en-GB"/>
        </w:rPr>
        <w:t xml:space="preserve">). </w:t>
      </w:r>
      <w:proofErr w:type="gramStart"/>
      <w:r w:rsidRPr="00025BBA">
        <w:rPr>
          <w:sz w:val="20"/>
          <w:szCs w:val="20"/>
          <w:lang w:val="en-US" w:eastAsia="en-GB"/>
        </w:rPr>
        <w:t>Education Policy Analysis in a Comparative Perspective II.</w:t>
      </w:r>
      <w:proofErr w:type="gramEnd"/>
      <w:r w:rsidRPr="00025BBA">
        <w:rPr>
          <w:sz w:val="20"/>
          <w:szCs w:val="20"/>
          <w:lang w:val="en-US" w:eastAsia="en-GB"/>
        </w:rPr>
        <w:t xml:space="preserve"> Linz: Publication Series.</w:t>
      </w:r>
    </w:p>
    <w:p w:rsidR="006362E4" w:rsidRPr="00025BBA" w:rsidRDefault="005259A6" w:rsidP="005259A6">
      <w:pPr>
        <w:rPr>
          <w:sz w:val="20"/>
          <w:szCs w:val="20"/>
          <w:lang w:val="en-US" w:eastAsia="en-GB"/>
        </w:rPr>
      </w:pPr>
      <w:r w:rsidRPr="00025BBA">
        <w:rPr>
          <w:sz w:val="20"/>
          <w:szCs w:val="20"/>
          <w:lang w:val="en-US" w:eastAsia="en-GB"/>
        </w:rPr>
        <w:t xml:space="preserve">[18]. </w:t>
      </w:r>
      <w:proofErr w:type="spellStart"/>
      <w:r w:rsidRPr="00025BBA">
        <w:rPr>
          <w:sz w:val="20"/>
          <w:szCs w:val="20"/>
          <w:lang w:val="en-US" w:eastAsia="en-GB"/>
        </w:rPr>
        <w:t>Zgaga</w:t>
      </w:r>
      <w:proofErr w:type="spellEnd"/>
      <w:r w:rsidRPr="00025BBA">
        <w:rPr>
          <w:sz w:val="20"/>
          <w:szCs w:val="20"/>
          <w:lang w:val="en-US" w:eastAsia="en-GB"/>
        </w:rPr>
        <w:t xml:space="preserve">, P. (2005). </w:t>
      </w:r>
      <w:proofErr w:type="gramStart"/>
      <w:r w:rsidRPr="00025BBA">
        <w:rPr>
          <w:sz w:val="20"/>
          <w:szCs w:val="20"/>
          <w:lang w:val="en-US" w:eastAsia="en-GB"/>
        </w:rPr>
        <w:t>The importance of education in social preconstruction.</w:t>
      </w:r>
      <w:proofErr w:type="gramEnd"/>
      <w:r w:rsidRPr="00025BBA">
        <w:rPr>
          <w:sz w:val="20"/>
          <w:szCs w:val="20"/>
          <w:lang w:val="en-US" w:eastAsia="en-GB"/>
        </w:rPr>
        <w:t xml:space="preserve"> Six years of the enhanced Graz process: developments, current status and future prospects </w:t>
      </w:r>
      <w:proofErr w:type="spellStart"/>
      <w:proofErr w:type="gramStart"/>
      <w:r w:rsidRPr="00025BBA">
        <w:rPr>
          <w:sz w:val="20"/>
          <w:szCs w:val="20"/>
          <w:lang w:val="en-US" w:eastAsia="en-GB"/>
        </w:rPr>
        <w:t>od</w:t>
      </w:r>
      <w:proofErr w:type="spellEnd"/>
      <w:proofErr w:type="gramEnd"/>
      <w:r w:rsidRPr="00025BBA">
        <w:rPr>
          <w:sz w:val="20"/>
          <w:szCs w:val="20"/>
          <w:lang w:val="en-US" w:eastAsia="en-GB"/>
        </w:rPr>
        <w:t xml:space="preserve"> education od South-east Europe. Ljubljana &amp; Wien: University </w:t>
      </w:r>
      <w:proofErr w:type="spellStart"/>
      <w:proofErr w:type="gramStart"/>
      <w:r w:rsidRPr="00025BBA">
        <w:rPr>
          <w:sz w:val="20"/>
          <w:szCs w:val="20"/>
          <w:lang w:val="en-US" w:eastAsia="en-GB"/>
        </w:rPr>
        <w:t>od</w:t>
      </w:r>
      <w:proofErr w:type="spellEnd"/>
      <w:proofErr w:type="gramEnd"/>
      <w:r w:rsidRPr="00025BBA">
        <w:rPr>
          <w:sz w:val="20"/>
          <w:szCs w:val="20"/>
          <w:lang w:val="en-US" w:eastAsia="en-GB"/>
        </w:rPr>
        <w:t xml:space="preserve"> Ljubljana, Faculty </w:t>
      </w:r>
      <w:proofErr w:type="spellStart"/>
      <w:r w:rsidRPr="00025BBA">
        <w:rPr>
          <w:sz w:val="20"/>
          <w:szCs w:val="20"/>
          <w:lang w:val="en-US" w:eastAsia="en-GB"/>
        </w:rPr>
        <w:t>od</w:t>
      </w:r>
      <w:proofErr w:type="spellEnd"/>
      <w:r w:rsidRPr="00025BBA">
        <w:rPr>
          <w:sz w:val="20"/>
          <w:szCs w:val="20"/>
          <w:lang w:val="en-US" w:eastAsia="en-GB"/>
        </w:rPr>
        <w:t xml:space="preserve"> Education.</w:t>
      </w:r>
    </w:p>
    <w:p w:rsidR="006362E4" w:rsidRPr="00025BBA" w:rsidRDefault="006362E4" w:rsidP="007A6285">
      <w:pPr>
        <w:ind w:left="720"/>
        <w:jc w:val="center"/>
        <w:rPr>
          <w:b/>
          <w:color w:val="000000"/>
          <w:lang w:val="en-US"/>
        </w:rPr>
      </w:pPr>
    </w:p>
    <w:p w:rsidR="001258E5" w:rsidRPr="001258E5" w:rsidRDefault="001258E5" w:rsidP="001258E5">
      <w:pPr>
        <w:ind w:left="720"/>
        <w:rPr>
          <w:b/>
          <w:color w:val="000000"/>
          <w:lang w:val="en-US"/>
        </w:rPr>
      </w:pPr>
      <w:r w:rsidRPr="001258E5">
        <w:rPr>
          <w:b/>
          <w:color w:val="000000"/>
          <w:lang w:val="en-US"/>
        </w:rPr>
        <w:t>Docent PhD Kiril T. Barbareev</w:t>
      </w:r>
    </w:p>
    <w:p w:rsidR="001258E5" w:rsidRPr="001258E5" w:rsidRDefault="001258E5" w:rsidP="001258E5">
      <w:pPr>
        <w:ind w:left="720"/>
        <w:rPr>
          <w:b/>
          <w:color w:val="000000"/>
          <w:lang w:val="en-US"/>
        </w:rPr>
      </w:pPr>
      <w:r w:rsidRPr="001258E5">
        <w:rPr>
          <w:b/>
          <w:color w:val="000000"/>
          <w:lang w:val="en-US"/>
        </w:rPr>
        <w:t xml:space="preserve">University “Goce </w:t>
      </w:r>
      <w:proofErr w:type="spellStart"/>
      <w:r w:rsidRPr="001258E5">
        <w:rPr>
          <w:b/>
          <w:color w:val="000000"/>
          <w:lang w:val="en-US"/>
        </w:rPr>
        <w:t>Delcev</w:t>
      </w:r>
      <w:proofErr w:type="spellEnd"/>
      <w:r w:rsidRPr="001258E5">
        <w:rPr>
          <w:b/>
          <w:color w:val="000000"/>
          <w:lang w:val="en-US"/>
        </w:rPr>
        <w:t xml:space="preserve">” – </w:t>
      </w:r>
      <w:proofErr w:type="spellStart"/>
      <w:r w:rsidRPr="001258E5">
        <w:rPr>
          <w:b/>
          <w:color w:val="000000"/>
          <w:lang w:val="en-US"/>
        </w:rPr>
        <w:t>Stip</w:t>
      </w:r>
      <w:proofErr w:type="spellEnd"/>
    </w:p>
    <w:p w:rsidR="001258E5" w:rsidRDefault="001258E5" w:rsidP="001258E5">
      <w:pPr>
        <w:ind w:left="720"/>
        <w:rPr>
          <w:b/>
          <w:color w:val="000000"/>
          <w:lang w:val="en-US"/>
        </w:rPr>
      </w:pPr>
      <w:r w:rsidRPr="001258E5">
        <w:rPr>
          <w:b/>
          <w:color w:val="000000"/>
          <w:lang w:val="en-US"/>
        </w:rPr>
        <w:t>Faculty of Educational Sciences</w:t>
      </w:r>
    </w:p>
    <w:p w:rsidR="00CE5F93" w:rsidRPr="001258E5" w:rsidRDefault="00CE5F93" w:rsidP="001258E5">
      <w:pPr>
        <w:ind w:left="720"/>
        <w:rPr>
          <w:b/>
          <w:color w:val="000000"/>
          <w:lang w:val="en-US"/>
        </w:rPr>
      </w:pPr>
      <w:r>
        <w:rPr>
          <w:b/>
          <w:color w:val="000000"/>
          <w:lang w:val="en-US"/>
        </w:rPr>
        <w:t>k</w:t>
      </w:r>
      <w:bookmarkStart w:id="0" w:name="_GoBack"/>
      <w:bookmarkEnd w:id="0"/>
      <w:r>
        <w:rPr>
          <w:b/>
          <w:color w:val="000000"/>
          <w:lang w:val="en-US"/>
        </w:rPr>
        <w:t>iril.barbareev@ugd.edu.mk</w:t>
      </w:r>
    </w:p>
    <w:p w:rsidR="007A6285" w:rsidRPr="00025BBA" w:rsidRDefault="007A6285" w:rsidP="001258E5">
      <w:pPr>
        <w:ind w:left="720"/>
        <w:rPr>
          <w:b/>
          <w:color w:val="000000"/>
          <w:lang w:val="en-US"/>
        </w:rPr>
      </w:pPr>
    </w:p>
    <w:p w:rsidR="005317BC" w:rsidRPr="00025BBA" w:rsidRDefault="005317BC">
      <w:pPr>
        <w:rPr>
          <w:lang w:val="en-US"/>
        </w:rPr>
      </w:pPr>
    </w:p>
    <w:sectPr w:rsidR="005317BC" w:rsidRPr="00025BBA" w:rsidSect="000C54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04" w:rsidRDefault="00266304" w:rsidP="006362E4">
      <w:r>
        <w:separator/>
      </w:r>
    </w:p>
  </w:endnote>
  <w:endnote w:type="continuationSeparator" w:id="0">
    <w:p w:rsidR="00266304" w:rsidRDefault="00266304" w:rsidP="0063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04" w:rsidRDefault="00266304" w:rsidP="006362E4">
      <w:r>
        <w:separator/>
      </w:r>
    </w:p>
  </w:footnote>
  <w:footnote w:type="continuationSeparator" w:id="0">
    <w:p w:rsidR="00266304" w:rsidRDefault="00266304" w:rsidP="006362E4">
      <w:r>
        <w:continuationSeparator/>
      </w:r>
    </w:p>
  </w:footnote>
  <w:footnote w:id="1">
    <w:p w:rsidR="00F96E07" w:rsidRPr="00370D79" w:rsidRDefault="00F96E07" w:rsidP="00A439A8">
      <w:pPr>
        <w:pStyle w:val="FootnoteText"/>
        <w:rPr>
          <w:sz w:val="16"/>
          <w:szCs w:val="16"/>
          <w:lang w:val="mk-MK"/>
        </w:rPr>
      </w:pPr>
      <w:r w:rsidRPr="00370D79">
        <w:rPr>
          <w:rStyle w:val="FootnoteReference"/>
          <w:sz w:val="16"/>
          <w:szCs w:val="16"/>
        </w:rPr>
        <w:footnoteRef/>
      </w:r>
      <w:r w:rsidRPr="00370D79">
        <w:rPr>
          <w:b/>
          <w:sz w:val="16"/>
          <w:szCs w:val="16"/>
        </w:rPr>
        <w:t xml:space="preserve">Gonzales, J. and </w:t>
      </w:r>
      <w:proofErr w:type="spellStart"/>
      <w:r w:rsidRPr="00370D79">
        <w:rPr>
          <w:b/>
          <w:sz w:val="16"/>
          <w:szCs w:val="16"/>
        </w:rPr>
        <w:t>Wagenaar</w:t>
      </w:r>
      <w:proofErr w:type="spellEnd"/>
      <w:r w:rsidRPr="00370D79">
        <w:rPr>
          <w:b/>
          <w:sz w:val="16"/>
          <w:szCs w:val="16"/>
        </w:rPr>
        <w:t>, R</w:t>
      </w:r>
      <w:r w:rsidRPr="00370D79">
        <w:rPr>
          <w:sz w:val="16"/>
          <w:szCs w:val="16"/>
        </w:rPr>
        <w:t xml:space="preserve">. </w:t>
      </w:r>
      <w:r w:rsidRPr="00370D79">
        <w:rPr>
          <w:i/>
          <w:sz w:val="16"/>
          <w:szCs w:val="16"/>
        </w:rPr>
        <w:t>Tuning Educational Structures in Europe. II. Universities’ Contribution to the Bologna Process</w:t>
      </w:r>
      <w:r w:rsidRPr="00370D79">
        <w:rPr>
          <w:sz w:val="16"/>
          <w:szCs w:val="16"/>
        </w:rPr>
        <w:t xml:space="preserve">. Bilbao/Groningen: University of </w:t>
      </w:r>
      <w:proofErr w:type="spellStart"/>
      <w:r w:rsidRPr="00370D79">
        <w:rPr>
          <w:sz w:val="16"/>
          <w:szCs w:val="16"/>
        </w:rPr>
        <w:t>Deusto</w:t>
      </w:r>
      <w:proofErr w:type="spellEnd"/>
      <w:r w:rsidRPr="00370D79">
        <w:rPr>
          <w:sz w:val="16"/>
          <w:szCs w:val="16"/>
        </w:rPr>
        <w:t xml:space="preserve"> / University of Groningen, 2005, pp. 75-93.</w:t>
      </w:r>
    </w:p>
  </w:footnote>
  <w:footnote w:id="2">
    <w:p w:rsidR="00F96E07" w:rsidRPr="00370D79" w:rsidRDefault="00F96E07" w:rsidP="00A439A8">
      <w:pPr>
        <w:tabs>
          <w:tab w:val="left" w:pos="960"/>
        </w:tabs>
        <w:autoSpaceDE w:val="0"/>
        <w:autoSpaceDN w:val="0"/>
        <w:adjustRightInd w:val="0"/>
        <w:rPr>
          <w:bCs/>
          <w:sz w:val="16"/>
          <w:szCs w:val="16"/>
          <w:lang w:val="ru-RU"/>
        </w:rPr>
      </w:pPr>
      <w:r w:rsidRPr="00370D79">
        <w:rPr>
          <w:rStyle w:val="FootnoteReference"/>
          <w:sz w:val="16"/>
          <w:szCs w:val="16"/>
        </w:rPr>
        <w:footnoteRef/>
      </w:r>
      <w:r w:rsidRPr="00370D79">
        <w:rPr>
          <w:bCs/>
          <w:sz w:val="16"/>
          <w:szCs w:val="16"/>
        </w:rPr>
        <w:t>ISCED</w:t>
      </w:r>
      <w:r w:rsidRPr="00370D79">
        <w:rPr>
          <w:bCs/>
          <w:sz w:val="16"/>
          <w:szCs w:val="16"/>
          <w:lang w:val="ru-RU"/>
        </w:rPr>
        <w:t xml:space="preserve"> 1997 </w:t>
      </w:r>
      <w:r w:rsidR="00CF7D1E">
        <w:rPr>
          <w:bCs/>
          <w:sz w:val="16"/>
          <w:szCs w:val="16"/>
          <w:lang w:val="en-US"/>
        </w:rPr>
        <w:t>classification</w:t>
      </w:r>
      <w:r w:rsidRPr="00370D79">
        <w:rPr>
          <w:bCs/>
          <w:sz w:val="16"/>
          <w:szCs w:val="16"/>
          <w:lang w:val="ru-RU"/>
        </w:rPr>
        <w:t xml:space="preserve">; </w:t>
      </w:r>
      <w:r w:rsidR="00CF7D1E">
        <w:rPr>
          <w:bCs/>
          <w:sz w:val="16"/>
          <w:szCs w:val="16"/>
          <w:lang w:val="en-US"/>
        </w:rPr>
        <w:t xml:space="preserve">see: </w:t>
      </w:r>
      <w:r w:rsidRPr="00370D79">
        <w:rPr>
          <w:bCs/>
          <w:sz w:val="16"/>
          <w:szCs w:val="16"/>
          <w:u w:val="single"/>
        </w:rPr>
        <w:t>http</w:t>
      </w:r>
      <w:r w:rsidRPr="00370D79">
        <w:rPr>
          <w:bCs/>
          <w:sz w:val="16"/>
          <w:szCs w:val="16"/>
          <w:u w:val="single"/>
          <w:lang w:val="ru-RU"/>
        </w:rPr>
        <w:t>://</w:t>
      </w:r>
      <w:r w:rsidRPr="00370D79">
        <w:rPr>
          <w:bCs/>
          <w:sz w:val="16"/>
          <w:szCs w:val="16"/>
          <w:u w:val="single"/>
        </w:rPr>
        <w:t>www</w:t>
      </w:r>
      <w:r w:rsidRPr="00370D79">
        <w:rPr>
          <w:bCs/>
          <w:sz w:val="16"/>
          <w:szCs w:val="16"/>
          <w:u w:val="single"/>
          <w:lang w:val="ru-RU"/>
        </w:rPr>
        <w:t>.</w:t>
      </w:r>
      <w:r w:rsidRPr="00370D79">
        <w:rPr>
          <w:bCs/>
          <w:sz w:val="16"/>
          <w:szCs w:val="16"/>
          <w:u w:val="single"/>
        </w:rPr>
        <w:t>unesco</w:t>
      </w:r>
      <w:r w:rsidRPr="00370D79">
        <w:rPr>
          <w:bCs/>
          <w:sz w:val="16"/>
          <w:szCs w:val="16"/>
          <w:u w:val="single"/>
          <w:lang w:val="ru-RU"/>
        </w:rPr>
        <w:t>.</w:t>
      </w:r>
      <w:r w:rsidRPr="00370D79">
        <w:rPr>
          <w:bCs/>
          <w:sz w:val="16"/>
          <w:szCs w:val="16"/>
          <w:u w:val="single"/>
        </w:rPr>
        <w:t>org</w:t>
      </w:r>
      <w:r w:rsidRPr="00370D79">
        <w:rPr>
          <w:bCs/>
          <w:sz w:val="16"/>
          <w:szCs w:val="16"/>
          <w:u w:val="single"/>
          <w:lang w:val="ru-RU"/>
        </w:rPr>
        <w:t>/</w:t>
      </w:r>
      <w:r w:rsidRPr="00370D79">
        <w:rPr>
          <w:bCs/>
          <w:sz w:val="16"/>
          <w:szCs w:val="16"/>
          <w:u w:val="single"/>
        </w:rPr>
        <w:t>education</w:t>
      </w:r>
      <w:r w:rsidRPr="00370D79">
        <w:rPr>
          <w:bCs/>
          <w:sz w:val="16"/>
          <w:szCs w:val="16"/>
          <w:u w:val="single"/>
          <w:lang w:val="ru-RU"/>
        </w:rPr>
        <w:t>/</w:t>
      </w:r>
      <w:r w:rsidRPr="00370D79">
        <w:rPr>
          <w:bCs/>
          <w:sz w:val="16"/>
          <w:szCs w:val="16"/>
          <w:u w:val="single"/>
        </w:rPr>
        <w:t>nfsunesco</w:t>
      </w:r>
      <w:r w:rsidRPr="00370D79">
        <w:rPr>
          <w:bCs/>
          <w:sz w:val="16"/>
          <w:szCs w:val="16"/>
          <w:u w:val="single"/>
          <w:lang w:val="ru-RU"/>
        </w:rPr>
        <w:t>/</w:t>
      </w:r>
      <w:r w:rsidRPr="00370D79">
        <w:rPr>
          <w:bCs/>
          <w:sz w:val="16"/>
          <w:szCs w:val="16"/>
          <w:u w:val="single"/>
        </w:rPr>
        <w:t>doc</w:t>
      </w:r>
      <w:r w:rsidRPr="00370D79">
        <w:rPr>
          <w:bCs/>
          <w:sz w:val="16"/>
          <w:szCs w:val="16"/>
          <w:u w:val="single"/>
          <w:lang w:val="ru-RU"/>
        </w:rPr>
        <w:t>/</w:t>
      </w:r>
      <w:r w:rsidRPr="00370D79">
        <w:rPr>
          <w:bCs/>
          <w:sz w:val="16"/>
          <w:szCs w:val="16"/>
          <w:u w:val="single"/>
        </w:rPr>
        <w:t>isced</w:t>
      </w:r>
      <w:r w:rsidRPr="00370D79">
        <w:rPr>
          <w:bCs/>
          <w:sz w:val="16"/>
          <w:szCs w:val="16"/>
          <w:u w:val="single"/>
          <w:lang w:val="ru-RU"/>
        </w:rPr>
        <w:t>_1997.</w:t>
      </w:r>
      <w:r w:rsidRPr="00370D79">
        <w:rPr>
          <w:bCs/>
          <w:sz w:val="16"/>
          <w:szCs w:val="16"/>
          <w:u w:val="single"/>
        </w:rPr>
        <w:t>htm</w:t>
      </w:r>
    </w:p>
    <w:p w:rsidR="00F96E07" w:rsidRDefault="00F96E07" w:rsidP="00A439A8">
      <w:pPr>
        <w:tabs>
          <w:tab w:val="left" w:pos="960"/>
        </w:tabs>
        <w:autoSpaceDE w:val="0"/>
        <w:autoSpaceDN w:val="0"/>
        <w:adjustRightInd w:val="0"/>
        <w:rPr>
          <w:rFonts w:ascii="Book Antiqua" w:hAnsi="Book Antiqua" w:cs="Arial"/>
          <w:b/>
          <w:sz w:val="18"/>
          <w:szCs w:val="20"/>
          <w:lang w:val="ru-RU"/>
        </w:rPr>
      </w:pPr>
    </w:p>
    <w:p w:rsidR="00F96E07" w:rsidRDefault="00F96E07" w:rsidP="00A439A8">
      <w:pPr>
        <w:pStyle w:val="FootnoteText"/>
        <w:rPr>
          <w:lang w:val="mk-MK"/>
        </w:rPr>
      </w:pPr>
    </w:p>
  </w:footnote>
  <w:footnote w:id="3">
    <w:p w:rsidR="00F96E07" w:rsidRPr="00E42184" w:rsidRDefault="00F96E07" w:rsidP="00342150">
      <w:pPr>
        <w:rPr>
          <w:sz w:val="16"/>
          <w:szCs w:val="16"/>
        </w:rPr>
      </w:pPr>
      <w:r w:rsidRPr="00370D79">
        <w:rPr>
          <w:rStyle w:val="FootnoteReference"/>
          <w:sz w:val="16"/>
          <w:szCs w:val="16"/>
        </w:rPr>
        <w:footnoteRef/>
      </w:r>
      <w:r w:rsidR="009B79F1" w:rsidRPr="00D93961">
        <w:rPr>
          <w:sz w:val="16"/>
          <w:szCs w:val="16"/>
          <w:lang w:val="mk-MK"/>
        </w:rPr>
        <w:t xml:space="preserve">The term </w:t>
      </w:r>
      <w:r w:rsidR="009B79F1" w:rsidRPr="00D93961">
        <w:rPr>
          <w:i/>
          <w:sz w:val="16"/>
          <w:szCs w:val="16"/>
          <w:lang w:val="mk-MK"/>
        </w:rPr>
        <w:t>curriculum</w:t>
      </w:r>
      <w:r w:rsidR="009B79F1" w:rsidRPr="00D93961">
        <w:rPr>
          <w:sz w:val="16"/>
          <w:szCs w:val="16"/>
          <w:lang w:val="mk-MK"/>
        </w:rPr>
        <w:t xml:space="preserve"> (L</w:t>
      </w:r>
      <w:r w:rsidRPr="00D93961">
        <w:rPr>
          <w:sz w:val="16"/>
          <w:szCs w:val="16"/>
          <w:lang w:val="mk-MK"/>
        </w:rPr>
        <w:t xml:space="preserve">at. Curriculum) </w:t>
      </w:r>
      <w:r w:rsidR="009B79F1" w:rsidRPr="00D93961">
        <w:rPr>
          <w:sz w:val="16"/>
          <w:szCs w:val="16"/>
          <w:lang w:val="mk-MK"/>
        </w:rPr>
        <w:t xml:space="preserve">has different meanings; a lot of languages do not have an appropriate equivalent so the original term is </w:t>
      </w:r>
      <w:r w:rsidR="00D93961" w:rsidRPr="00D93961">
        <w:rPr>
          <w:sz w:val="16"/>
          <w:szCs w:val="16"/>
          <w:lang w:val="mk-MK"/>
        </w:rPr>
        <w:t xml:space="preserve">increasingly </w:t>
      </w:r>
      <w:r w:rsidR="009B79F1" w:rsidRPr="00D93961">
        <w:rPr>
          <w:sz w:val="16"/>
          <w:szCs w:val="16"/>
          <w:lang w:val="mk-MK"/>
        </w:rPr>
        <w:t>being used</w:t>
      </w:r>
      <w:r w:rsidRPr="00D93961">
        <w:rPr>
          <w:sz w:val="16"/>
          <w:szCs w:val="16"/>
          <w:lang w:val="mk-MK"/>
        </w:rPr>
        <w:t xml:space="preserve">. </w:t>
      </w:r>
      <w:r w:rsidR="00D93961" w:rsidRPr="00D93961">
        <w:rPr>
          <w:sz w:val="16"/>
          <w:szCs w:val="16"/>
        </w:rPr>
        <w:t xml:space="preserve">The </w:t>
      </w:r>
      <w:r w:rsidR="00D93961">
        <w:rPr>
          <w:sz w:val="16"/>
          <w:szCs w:val="16"/>
          <w:lang w:val="en-US"/>
        </w:rPr>
        <w:t xml:space="preserve">term </w:t>
      </w:r>
      <w:r w:rsidR="00D93961" w:rsidRPr="00D93961">
        <w:rPr>
          <w:i/>
          <w:sz w:val="16"/>
          <w:szCs w:val="16"/>
        </w:rPr>
        <w:t>curriculum</w:t>
      </w:r>
      <w:r w:rsidR="00D93961" w:rsidRPr="00D93961">
        <w:rPr>
          <w:sz w:val="16"/>
          <w:szCs w:val="16"/>
        </w:rPr>
        <w:t xml:space="preserve"> </w:t>
      </w:r>
      <w:r w:rsidR="00D93961">
        <w:rPr>
          <w:sz w:val="16"/>
          <w:szCs w:val="16"/>
          <w:lang w:val="en-US"/>
        </w:rPr>
        <w:t xml:space="preserve">is </w:t>
      </w:r>
      <w:r w:rsidR="00D93961" w:rsidRPr="00D93961">
        <w:rPr>
          <w:sz w:val="16"/>
          <w:szCs w:val="16"/>
        </w:rPr>
        <w:t xml:space="preserve">used in its broader and narrower meaning. The </w:t>
      </w:r>
      <w:r w:rsidR="00D93961">
        <w:rPr>
          <w:sz w:val="16"/>
          <w:szCs w:val="16"/>
          <w:lang w:val="en-US"/>
        </w:rPr>
        <w:t>broader meaning</w:t>
      </w:r>
      <w:r w:rsidR="00D93961" w:rsidRPr="00D93961">
        <w:rPr>
          <w:sz w:val="16"/>
          <w:szCs w:val="16"/>
        </w:rPr>
        <w:t xml:space="preserve"> </w:t>
      </w:r>
      <w:r w:rsidR="00D93961">
        <w:rPr>
          <w:sz w:val="16"/>
          <w:szCs w:val="16"/>
          <w:lang w:val="en-US"/>
        </w:rPr>
        <w:t>relates to the curriculum composition</w:t>
      </w:r>
      <w:r w:rsidR="00D93961" w:rsidRPr="00D93961">
        <w:rPr>
          <w:sz w:val="16"/>
          <w:szCs w:val="16"/>
        </w:rPr>
        <w:t xml:space="preserve"> which comprises the following elements: learning goals, learning </w:t>
      </w:r>
      <w:r w:rsidR="008321CF">
        <w:rPr>
          <w:sz w:val="16"/>
          <w:szCs w:val="16"/>
          <w:lang w:val="en-US"/>
        </w:rPr>
        <w:t xml:space="preserve">contents </w:t>
      </w:r>
      <w:r w:rsidR="00D93961" w:rsidRPr="00D93961">
        <w:rPr>
          <w:sz w:val="16"/>
          <w:szCs w:val="16"/>
        </w:rPr>
        <w:t xml:space="preserve">(programs), conditions and manner of </w:t>
      </w:r>
      <w:r w:rsidR="00D93961" w:rsidRPr="00CF7D1E">
        <w:rPr>
          <w:sz w:val="16"/>
          <w:szCs w:val="16"/>
        </w:rPr>
        <w:t xml:space="preserve">implementation of programs and internal evaluation, and </w:t>
      </w:r>
      <w:r w:rsidR="008321CF" w:rsidRPr="00CF7D1E">
        <w:rPr>
          <w:sz w:val="16"/>
          <w:szCs w:val="16"/>
          <w:lang w:val="en-US"/>
        </w:rPr>
        <w:t xml:space="preserve">of </w:t>
      </w:r>
      <w:r w:rsidR="00D93961" w:rsidRPr="00CF7D1E">
        <w:rPr>
          <w:sz w:val="16"/>
          <w:szCs w:val="16"/>
        </w:rPr>
        <w:t xml:space="preserve">educational achievements. </w:t>
      </w:r>
      <w:r w:rsidR="00CF7D1E">
        <w:rPr>
          <w:sz w:val="16"/>
          <w:szCs w:val="16"/>
          <w:lang w:val="en-US"/>
        </w:rPr>
        <w:t>These elements</w:t>
      </w:r>
      <w:r w:rsidR="008321CF" w:rsidRPr="00CF7D1E">
        <w:rPr>
          <w:sz w:val="16"/>
          <w:szCs w:val="16"/>
          <w:lang w:val="en-US"/>
        </w:rPr>
        <w:t xml:space="preserve"> </w:t>
      </w:r>
      <w:r w:rsidR="00CF7D1E" w:rsidRPr="00CF7D1E">
        <w:rPr>
          <w:sz w:val="16"/>
          <w:szCs w:val="16"/>
          <w:lang w:val="en-US"/>
        </w:rPr>
        <w:t xml:space="preserve">are </w:t>
      </w:r>
      <w:r w:rsidR="008321CF" w:rsidRPr="00CF7D1E">
        <w:rPr>
          <w:sz w:val="16"/>
          <w:szCs w:val="16"/>
          <w:lang w:val="en-US"/>
        </w:rPr>
        <w:t>mutually dependent</w:t>
      </w:r>
      <w:r w:rsidR="00D93961" w:rsidRPr="00CF7D1E">
        <w:rPr>
          <w:sz w:val="16"/>
          <w:szCs w:val="16"/>
        </w:rPr>
        <w:t xml:space="preserve"> and therefore </w:t>
      </w:r>
      <w:r w:rsidR="00CF7D1E" w:rsidRPr="00CF7D1E">
        <w:rPr>
          <w:sz w:val="16"/>
          <w:szCs w:val="16"/>
          <w:lang w:val="en-US"/>
        </w:rPr>
        <w:t xml:space="preserve">they </w:t>
      </w:r>
      <w:r w:rsidR="00D93961" w:rsidRPr="00CF7D1E">
        <w:rPr>
          <w:sz w:val="16"/>
          <w:szCs w:val="16"/>
        </w:rPr>
        <w:t>make up the composition.</w:t>
      </w:r>
      <w:r w:rsidR="00CF7D1E">
        <w:rPr>
          <w:sz w:val="16"/>
          <w:szCs w:val="16"/>
          <w:lang w:val="en-US"/>
        </w:rPr>
        <w:t xml:space="preserve"> So</w:t>
      </w:r>
      <w:r w:rsidR="00CF7D1E" w:rsidRPr="00CF7D1E">
        <w:rPr>
          <w:sz w:val="16"/>
          <w:szCs w:val="16"/>
        </w:rPr>
        <w:t xml:space="preserve">, for example, the program is implemented </w:t>
      </w:r>
      <w:r w:rsidR="00342150">
        <w:rPr>
          <w:sz w:val="16"/>
          <w:szCs w:val="16"/>
          <w:lang w:val="en-US"/>
        </w:rPr>
        <w:t xml:space="preserve">in accordance with </w:t>
      </w:r>
      <w:r w:rsidR="00CF7D1E" w:rsidRPr="00CF7D1E">
        <w:rPr>
          <w:sz w:val="16"/>
          <w:szCs w:val="16"/>
        </w:rPr>
        <w:t>goals, whi</w:t>
      </w:r>
      <w:r w:rsidR="00342150">
        <w:rPr>
          <w:sz w:val="16"/>
          <w:szCs w:val="16"/>
          <w:lang w:val="en-US"/>
        </w:rPr>
        <w:t xml:space="preserve">le care must be taken of </w:t>
      </w:r>
      <w:r w:rsidR="00CF7D1E" w:rsidRPr="00CF7D1E">
        <w:rPr>
          <w:sz w:val="16"/>
          <w:szCs w:val="16"/>
        </w:rPr>
        <w:t>internal and external conditions of learning (</w:t>
      </w:r>
      <w:r w:rsidR="00342150">
        <w:rPr>
          <w:sz w:val="16"/>
          <w:szCs w:val="16"/>
          <w:lang w:val="en-US"/>
        </w:rPr>
        <w:t>students’ previous knowledge</w:t>
      </w:r>
      <w:r w:rsidR="00CF7D1E" w:rsidRPr="00CF7D1E">
        <w:rPr>
          <w:sz w:val="16"/>
          <w:szCs w:val="16"/>
        </w:rPr>
        <w:t xml:space="preserve">, skills and motivation), </w:t>
      </w:r>
      <w:r w:rsidR="00342150">
        <w:rPr>
          <w:sz w:val="16"/>
          <w:szCs w:val="16"/>
          <w:lang w:val="en-US"/>
        </w:rPr>
        <w:t>which are affected by</w:t>
      </w:r>
      <w:r w:rsidR="00CF7D1E" w:rsidRPr="00CF7D1E">
        <w:rPr>
          <w:sz w:val="16"/>
          <w:szCs w:val="16"/>
        </w:rPr>
        <w:t xml:space="preserve"> evaluation</w:t>
      </w:r>
      <w:r w:rsidR="00342150">
        <w:rPr>
          <w:sz w:val="16"/>
          <w:szCs w:val="16"/>
          <w:lang w:val="en-US"/>
        </w:rPr>
        <w:t xml:space="preserve"> results</w:t>
      </w:r>
      <w:r w:rsidR="00CF7D1E" w:rsidRPr="00CF7D1E">
        <w:rPr>
          <w:sz w:val="16"/>
          <w:szCs w:val="16"/>
        </w:rPr>
        <w:t xml:space="preserve"> </w:t>
      </w:r>
      <w:r w:rsidR="00CF7D1E" w:rsidRPr="00351617">
        <w:rPr>
          <w:sz w:val="16"/>
          <w:szCs w:val="16"/>
        </w:rPr>
        <w:t xml:space="preserve">(Pastuović, 1999). </w:t>
      </w:r>
      <w:r w:rsidR="00342150" w:rsidRPr="00351617">
        <w:rPr>
          <w:sz w:val="16"/>
          <w:szCs w:val="16"/>
          <w:lang w:val="en-US"/>
        </w:rPr>
        <w:t xml:space="preserve">The narrower meaning of the </w:t>
      </w:r>
      <w:r w:rsidR="00CF7D1E" w:rsidRPr="00351617">
        <w:rPr>
          <w:i/>
          <w:sz w:val="16"/>
          <w:szCs w:val="16"/>
        </w:rPr>
        <w:t>curriculum</w:t>
      </w:r>
      <w:r w:rsidR="00CF7D1E" w:rsidRPr="00351617">
        <w:rPr>
          <w:sz w:val="16"/>
          <w:szCs w:val="16"/>
        </w:rPr>
        <w:t xml:space="preserve"> refers to the </w:t>
      </w:r>
      <w:r w:rsidR="00342150" w:rsidRPr="00351617">
        <w:rPr>
          <w:sz w:val="16"/>
          <w:szCs w:val="16"/>
        </w:rPr>
        <w:t xml:space="preserve">learning </w:t>
      </w:r>
      <w:r w:rsidR="00CF7D1E" w:rsidRPr="00351617">
        <w:rPr>
          <w:sz w:val="16"/>
          <w:szCs w:val="16"/>
        </w:rPr>
        <w:t>content</w:t>
      </w:r>
      <w:r w:rsidR="00342150" w:rsidRPr="00351617">
        <w:rPr>
          <w:sz w:val="16"/>
          <w:szCs w:val="16"/>
          <w:lang w:val="en-US"/>
        </w:rPr>
        <w:t>s</w:t>
      </w:r>
      <w:r w:rsidR="00CF7D1E" w:rsidRPr="00351617">
        <w:rPr>
          <w:sz w:val="16"/>
          <w:szCs w:val="16"/>
        </w:rPr>
        <w:t xml:space="preserve"> that </w:t>
      </w:r>
      <w:r w:rsidR="00342150" w:rsidRPr="00351617">
        <w:rPr>
          <w:sz w:val="16"/>
          <w:szCs w:val="16"/>
          <w:lang w:val="en-US"/>
        </w:rPr>
        <w:t>are systematized in</w:t>
      </w:r>
      <w:r w:rsidR="00CF7D1E" w:rsidRPr="00351617">
        <w:rPr>
          <w:sz w:val="16"/>
          <w:szCs w:val="16"/>
        </w:rPr>
        <w:t xml:space="preserve"> the program. </w:t>
      </w:r>
      <w:r w:rsidR="00B52297" w:rsidRPr="00351617">
        <w:rPr>
          <w:i/>
          <w:sz w:val="16"/>
          <w:szCs w:val="16"/>
          <w:lang w:val="en-US"/>
        </w:rPr>
        <w:t xml:space="preserve">The national curriculum </w:t>
      </w:r>
      <w:r w:rsidR="00B52297" w:rsidRPr="00351617">
        <w:rPr>
          <w:sz w:val="16"/>
          <w:szCs w:val="16"/>
          <w:lang w:val="en-US"/>
        </w:rPr>
        <w:t>i</w:t>
      </w:r>
      <w:r w:rsidR="00CF7D1E" w:rsidRPr="00351617">
        <w:rPr>
          <w:sz w:val="16"/>
          <w:szCs w:val="16"/>
        </w:rPr>
        <w:t xml:space="preserve">ncludes </w:t>
      </w:r>
      <w:r w:rsidR="00B52297" w:rsidRPr="00351617">
        <w:rPr>
          <w:sz w:val="16"/>
          <w:szCs w:val="16"/>
          <w:lang w:val="en-US"/>
        </w:rPr>
        <w:t>teaching</w:t>
      </w:r>
      <w:r w:rsidR="00B52297" w:rsidRPr="00351617">
        <w:rPr>
          <w:sz w:val="16"/>
          <w:szCs w:val="16"/>
        </w:rPr>
        <w:t xml:space="preserve"> plans (</w:t>
      </w:r>
      <w:r w:rsidR="00CF7D1E" w:rsidRPr="00351617">
        <w:rPr>
          <w:sz w:val="16"/>
          <w:szCs w:val="16"/>
        </w:rPr>
        <w:t>relevant programs) of compulsory education.</w:t>
      </w:r>
      <w:r w:rsidR="00351617" w:rsidRPr="00351617">
        <w:rPr>
          <w:sz w:val="16"/>
          <w:szCs w:val="16"/>
        </w:rPr>
        <w:t xml:space="preserve"> </w:t>
      </w:r>
      <w:r w:rsidR="00351617">
        <w:rPr>
          <w:sz w:val="16"/>
          <w:szCs w:val="16"/>
          <w:lang w:val="en-US"/>
        </w:rPr>
        <w:t>A</w:t>
      </w:r>
      <w:r w:rsidR="00351617" w:rsidRPr="00351617">
        <w:rPr>
          <w:sz w:val="16"/>
          <w:szCs w:val="16"/>
        </w:rPr>
        <w:t xml:space="preserve"> curriculum is a set of clearly defined activities in educational work (goals, </w:t>
      </w:r>
      <w:r w:rsidR="00351617">
        <w:rPr>
          <w:sz w:val="16"/>
          <w:szCs w:val="16"/>
          <w:lang w:val="en-US"/>
        </w:rPr>
        <w:t>tasks</w:t>
      </w:r>
      <w:r w:rsidR="00351617" w:rsidRPr="00351617">
        <w:rPr>
          <w:sz w:val="16"/>
          <w:szCs w:val="16"/>
        </w:rPr>
        <w:t>, content</w:t>
      </w:r>
      <w:r w:rsidR="00351617">
        <w:rPr>
          <w:sz w:val="16"/>
          <w:szCs w:val="16"/>
          <w:lang w:val="en-US"/>
        </w:rPr>
        <w:t>s</w:t>
      </w:r>
      <w:r w:rsidR="00351617" w:rsidRPr="00351617">
        <w:rPr>
          <w:sz w:val="16"/>
          <w:szCs w:val="16"/>
        </w:rPr>
        <w:t>, organization, methods, techniques, media</w:t>
      </w:r>
      <w:r w:rsidR="00351617">
        <w:rPr>
          <w:sz w:val="16"/>
          <w:szCs w:val="16"/>
          <w:lang w:val="en-US"/>
        </w:rPr>
        <w:t>,</w:t>
      </w:r>
      <w:r w:rsidR="00351617" w:rsidRPr="00351617">
        <w:rPr>
          <w:sz w:val="16"/>
          <w:szCs w:val="16"/>
        </w:rPr>
        <w:t xml:space="preserve"> strategies, etc.). Its fundamental characteristic is "</w:t>
      </w:r>
      <w:r w:rsidR="00351617">
        <w:rPr>
          <w:sz w:val="16"/>
          <w:szCs w:val="16"/>
          <w:lang w:val="en-US"/>
        </w:rPr>
        <w:t xml:space="preserve">a </w:t>
      </w:r>
      <w:r w:rsidR="00351617" w:rsidRPr="00351617">
        <w:rPr>
          <w:b/>
          <w:sz w:val="16"/>
          <w:szCs w:val="16"/>
        </w:rPr>
        <w:t>student</w:t>
      </w:r>
      <w:r w:rsidR="00351617" w:rsidRPr="00351617">
        <w:rPr>
          <w:sz w:val="16"/>
          <w:szCs w:val="16"/>
        </w:rPr>
        <w:t xml:space="preserve"> </w:t>
      </w:r>
      <w:r w:rsidR="00351617" w:rsidRPr="00351617">
        <w:rPr>
          <w:i/>
          <w:sz w:val="16"/>
          <w:szCs w:val="16"/>
        </w:rPr>
        <w:t>focused on learning</w:t>
      </w:r>
      <w:r w:rsidR="00351617" w:rsidRPr="00351617">
        <w:rPr>
          <w:sz w:val="16"/>
          <w:szCs w:val="16"/>
        </w:rPr>
        <w:t>," but precisel</w:t>
      </w:r>
      <w:r w:rsidR="00351617">
        <w:rPr>
          <w:sz w:val="16"/>
          <w:szCs w:val="16"/>
        </w:rPr>
        <w:t>y articulated (algorit</w:t>
      </w:r>
      <w:r w:rsidR="006A52B1">
        <w:rPr>
          <w:sz w:val="16"/>
          <w:szCs w:val="16"/>
          <w:lang w:val="en-US"/>
        </w:rPr>
        <w:t>h</w:t>
      </w:r>
      <w:r w:rsidR="00351617">
        <w:rPr>
          <w:sz w:val="16"/>
          <w:szCs w:val="16"/>
        </w:rPr>
        <w:t>mi</w:t>
      </w:r>
      <w:r w:rsidR="006A52B1">
        <w:rPr>
          <w:sz w:val="16"/>
          <w:szCs w:val="16"/>
          <w:lang w:val="en-US"/>
        </w:rPr>
        <w:t>ci</w:t>
      </w:r>
      <w:r w:rsidR="00351617">
        <w:rPr>
          <w:sz w:val="16"/>
          <w:szCs w:val="16"/>
        </w:rPr>
        <w:t>z</w:t>
      </w:r>
      <w:r w:rsidR="006A52B1">
        <w:rPr>
          <w:sz w:val="16"/>
          <w:szCs w:val="16"/>
          <w:lang w:val="en-US"/>
        </w:rPr>
        <w:t>e</w:t>
      </w:r>
      <w:r w:rsidR="00351617">
        <w:rPr>
          <w:sz w:val="16"/>
          <w:szCs w:val="16"/>
        </w:rPr>
        <w:t>)</w:t>
      </w:r>
      <w:r w:rsidR="00351617">
        <w:rPr>
          <w:sz w:val="16"/>
          <w:szCs w:val="16"/>
          <w:lang w:val="en-US"/>
        </w:rPr>
        <w:t xml:space="preserve">; that is why not </w:t>
      </w:r>
      <w:r w:rsidR="00351617" w:rsidRPr="00351617">
        <w:rPr>
          <w:sz w:val="16"/>
          <w:szCs w:val="16"/>
        </w:rPr>
        <w:t xml:space="preserve">all planning and programming can be called </w:t>
      </w:r>
      <w:r w:rsidR="00351617">
        <w:rPr>
          <w:sz w:val="16"/>
          <w:szCs w:val="16"/>
        </w:rPr>
        <w:t>–</w:t>
      </w:r>
      <w:r w:rsidR="00351617" w:rsidRPr="00351617">
        <w:rPr>
          <w:sz w:val="16"/>
          <w:szCs w:val="16"/>
        </w:rPr>
        <w:t xml:space="preserve"> </w:t>
      </w:r>
      <w:r w:rsidR="00351617" w:rsidRPr="00351617">
        <w:rPr>
          <w:i/>
          <w:sz w:val="16"/>
          <w:szCs w:val="16"/>
        </w:rPr>
        <w:t>curriculum</w:t>
      </w:r>
      <w:r w:rsidR="00351617" w:rsidRPr="00351617">
        <w:rPr>
          <w:sz w:val="16"/>
          <w:szCs w:val="16"/>
        </w:rPr>
        <w:t xml:space="preserve">, but only that which meets the methodological requirements, criteria and technology for </w:t>
      </w:r>
      <w:r w:rsidR="00351617">
        <w:rPr>
          <w:sz w:val="16"/>
          <w:szCs w:val="16"/>
          <w:lang w:val="en-US"/>
        </w:rPr>
        <w:t xml:space="preserve">the </w:t>
      </w:r>
      <w:r w:rsidR="00351617" w:rsidRPr="00351617">
        <w:rPr>
          <w:sz w:val="16"/>
          <w:szCs w:val="16"/>
        </w:rPr>
        <w:t xml:space="preserve">development of </w:t>
      </w:r>
      <w:r w:rsidR="00351617">
        <w:rPr>
          <w:sz w:val="16"/>
          <w:szCs w:val="16"/>
          <w:lang w:val="en-US"/>
        </w:rPr>
        <w:t xml:space="preserve">a </w:t>
      </w:r>
      <w:r w:rsidR="00351617" w:rsidRPr="00351617">
        <w:rPr>
          <w:sz w:val="16"/>
          <w:szCs w:val="16"/>
        </w:rPr>
        <w:t>curriculum.</w:t>
      </w:r>
    </w:p>
  </w:footnote>
  <w:footnote w:id="4">
    <w:p w:rsidR="00F96E07" w:rsidRPr="00370D79" w:rsidRDefault="00F96E07" w:rsidP="00A439A8">
      <w:pPr>
        <w:pStyle w:val="FootnoteText"/>
        <w:rPr>
          <w:lang w:val="mk-MK"/>
        </w:rPr>
      </w:pPr>
      <w:r w:rsidRPr="00370D79">
        <w:rPr>
          <w:rStyle w:val="FootnoteReference"/>
          <w:sz w:val="16"/>
          <w:szCs w:val="16"/>
        </w:rPr>
        <w:footnoteRef/>
      </w:r>
      <w:proofErr w:type="gramStart"/>
      <w:r w:rsidR="00E42184">
        <w:rPr>
          <w:sz w:val="16"/>
          <w:szCs w:val="16"/>
          <w:lang w:val="en-US"/>
        </w:rPr>
        <w:t>Law on Higher Education</w:t>
      </w:r>
      <w:r w:rsidRPr="00370D79">
        <w:rPr>
          <w:sz w:val="16"/>
          <w:szCs w:val="16"/>
          <w:lang w:val="mk-MK"/>
        </w:rPr>
        <w:t>.</w:t>
      </w:r>
      <w:proofErr w:type="gramEnd"/>
      <w:r w:rsidRPr="00370D79">
        <w:rPr>
          <w:sz w:val="16"/>
          <w:szCs w:val="16"/>
          <w:lang w:val="mk-MK"/>
        </w:rPr>
        <w:t xml:space="preserve"> </w:t>
      </w:r>
      <w:r w:rsidR="00E42184" w:rsidRPr="00E42184">
        <w:rPr>
          <w:sz w:val="16"/>
          <w:szCs w:val="16"/>
          <w:lang w:val="mk-MK"/>
        </w:rPr>
        <w:t xml:space="preserve">Official Gazette of R. </w:t>
      </w:r>
      <w:r w:rsidR="00E42184">
        <w:rPr>
          <w:sz w:val="16"/>
          <w:szCs w:val="16"/>
          <w:lang w:val="en-US"/>
        </w:rPr>
        <w:t>Macedonia no</w:t>
      </w:r>
      <w:r w:rsidRPr="00370D79">
        <w:rPr>
          <w:sz w:val="16"/>
          <w:szCs w:val="16"/>
          <w:lang w:val="mk-MK"/>
        </w:rPr>
        <w:t xml:space="preserve">.35 </w:t>
      </w:r>
      <w:r w:rsidR="00E42184">
        <w:rPr>
          <w:sz w:val="16"/>
          <w:szCs w:val="16"/>
          <w:lang w:val="en-US"/>
        </w:rPr>
        <w:t>dated</w:t>
      </w:r>
      <w:r w:rsidR="00E42184">
        <w:rPr>
          <w:sz w:val="16"/>
          <w:szCs w:val="16"/>
          <w:lang w:val="mk-MK"/>
        </w:rPr>
        <w:t xml:space="preserve"> 14.03.2008</w:t>
      </w:r>
      <w:proofErr w:type="gramStart"/>
      <w:r w:rsidR="00E42184">
        <w:rPr>
          <w:sz w:val="16"/>
          <w:szCs w:val="16"/>
          <w:lang w:val="en-US"/>
        </w:rPr>
        <w:t>.</w:t>
      </w:r>
      <w:r w:rsidRPr="00370D79">
        <w:rPr>
          <w:sz w:val="16"/>
          <w:szCs w:val="16"/>
          <w:lang w:val="mk-MK"/>
        </w:rPr>
        <w:t>.</w:t>
      </w:r>
      <w:proofErr w:type="gramEnd"/>
    </w:p>
  </w:footnote>
  <w:footnote w:id="5">
    <w:p w:rsidR="00F96E07" w:rsidRPr="00370D79" w:rsidRDefault="00F96E07" w:rsidP="00A439A8">
      <w:pPr>
        <w:pStyle w:val="FootnoteText"/>
        <w:rPr>
          <w:sz w:val="16"/>
          <w:szCs w:val="16"/>
          <w:lang w:val="mk-MK"/>
        </w:rPr>
      </w:pPr>
      <w:r w:rsidRPr="00370D79">
        <w:rPr>
          <w:rStyle w:val="FootnoteReference"/>
          <w:sz w:val="16"/>
          <w:szCs w:val="16"/>
        </w:rPr>
        <w:footnoteRef/>
      </w:r>
      <w:r w:rsidRPr="00370D79">
        <w:rPr>
          <w:sz w:val="16"/>
          <w:szCs w:val="16"/>
          <w:lang w:val="mk-MK"/>
        </w:rPr>
        <w:t>http://www.unesco.org/education/nfsunesco/doc/isced_1997.htm</w:t>
      </w:r>
    </w:p>
  </w:footnote>
  <w:footnote w:id="6">
    <w:p w:rsidR="00F96E07" w:rsidRPr="008170D9" w:rsidRDefault="00F96E07" w:rsidP="008170D9">
      <w:pPr>
        <w:pStyle w:val="FootnoteText"/>
        <w:rPr>
          <w:sz w:val="16"/>
          <w:lang w:val="en-US" w:eastAsia="mk-MK"/>
        </w:rPr>
      </w:pPr>
      <w:r w:rsidRPr="00370D79">
        <w:rPr>
          <w:rStyle w:val="FootnoteReference"/>
          <w:sz w:val="16"/>
          <w:szCs w:val="16"/>
        </w:rPr>
        <w:footnoteRef/>
      </w:r>
      <w:r w:rsidR="00537662" w:rsidRPr="00651B21">
        <w:rPr>
          <w:b/>
          <w:sz w:val="16"/>
          <w:lang w:val="mk-MK" w:eastAsia="mk-MK"/>
        </w:rPr>
        <w:t>Joint Declaration of the Ministers in Europe signed in Bologna on 19</w:t>
      </w:r>
      <w:r w:rsidR="00537662" w:rsidRPr="00651B21">
        <w:rPr>
          <w:b/>
          <w:sz w:val="16"/>
          <w:lang w:val="en-US" w:eastAsia="mk-MK"/>
        </w:rPr>
        <w:t xml:space="preserve"> June </w:t>
      </w:r>
      <w:r w:rsidR="00537662" w:rsidRPr="00651B21">
        <w:rPr>
          <w:b/>
          <w:sz w:val="16"/>
          <w:lang w:val="mk-MK" w:eastAsia="mk-MK"/>
        </w:rPr>
        <w:t>1999</w:t>
      </w:r>
      <w:r w:rsidR="00537662" w:rsidRPr="00651B21">
        <w:rPr>
          <w:sz w:val="16"/>
          <w:lang w:val="en-US" w:eastAsia="mk-MK"/>
        </w:rPr>
        <w:t>.</w:t>
      </w:r>
      <w:r w:rsidR="00537662" w:rsidRPr="00651B21">
        <w:rPr>
          <w:sz w:val="16"/>
          <w:lang w:val="mk-MK" w:eastAsia="mk-MK"/>
        </w:rPr>
        <w:t xml:space="preserve"> Ministers from 29 European countries signed the Bologna Declaration, wh</w:t>
      </w:r>
      <w:r w:rsidR="00537662" w:rsidRPr="00651B21">
        <w:rPr>
          <w:sz w:val="16"/>
          <w:lang w:val="en-US" w:eastAsia="mk-MK"/>
        </w:rPr>
        <w:t>ose</w:t>
      </w:r>
      <w:r w:rsidR="00537662" w:rsidRPr="00651B21">
        <w:rPr>
          <w:sz w:val="16"/>
          <w:lang w:val="mk-MK" w:eastAsia="mk-MK"/>
        </w:rPr>
        <w:t xml:space="preserve"> main objective is: </w:t>
      </w:r>
      <w:r w:rsidR="00537662" w:rsidRPr="00651B21">
        <w:rPr>
          <w:sz w:val="16"/>
          <w:lang w:val="en-US" w:eastAsia="mk-MK"/>
        </w:rPr>
        <w:t xml:space="preserve">by </w:t>
      </w:r>
      <w:r w:rsidR="00537662" w:rsidRPr="00651B21">
        <w:rPr>
          <w:sz w:val="16"/>
          <w:lang w:val="mk-MK" w:eastAsia="mk-MK"/>
        </w:rPr>
        <w:t xml:space="preserve">2010 to develop a coherent and cohesive European Higher Education Area (ENEA). </w:t>
      </w:r>
      <w:r w:rsidR="00537662" w:rsidRPr="00826849">
        <w:rPr>
          <w:sz w:val="16"/>
        </w:rPr>
        <w:t>This was confirmed on 19 May 2001, the first follow-up conference in Prague. On 19.September 2003 Ministers responsible for higher education from 33 European countries met in Berlin in order to review the progress, to determine priorities and new goals in terms of accelerating the realization of ENEA. The next meeting was held in Bergen in May 2005, and since then 45 countries are involved in the process. The Republic of Macedonia became a signatory of the Bologna Declaration in 2003.</w:t>
      </w:r>
    </w:p>
  </w:footnote>
  <w:footnote w:id="7">
    <w:p w:rsidR="00F96E07" w:rsidRPr="00D80766" w:rsidRDefault="00F96E07" w:rsidP="00D80766">
      <w:pPr>
        <w:pStyle w:val="FootnoteText"/>
        <w:rPr>
          <w:b/>
          <w:sz w:val="18"/>
          <w:szCs w:val="16"/>
          <w:lang w:val="en-US"/>
        </w:rPr>
      </w:pPr>
      <w:r w:rsidRPr="00370D79">
        <w:rPr>
          <w:rStyle w:val="FootnoteReference"/>
          <w:sz w:val="16"/>
          <w:szCs w:val="16"/>
        </w:rPr>
        <w:footnoteRef/>
      </w:r>
      <w:r w:rsidR="008170D9" w:rsidRPr="00652001">
        <w:rPr>
          <w:sz w:val="16"/>
        </w:rPr>
        <w:t>Lisbon Declaration was adopted in March 2000, and its strategic goal is that EU becomes the "most competitive and dynamic knowledge based economy in the world, capable of sustaining economic growth with more and better jobs and greater social cohesion". The essence of this commitment is education and training at the summits in Stockholm (2001) and Barcelona (2002), which adopted strategic goals and the detailed work program for achieving the Lisbon goal by 2010.</w:t>
      </w:r>
    </w:p>
  </w:footnote>
  <w:footnote w:id="8">
    <w:p w:rsidR="00F96E07" w:rsidRPr="00370D79" w:rsidRDefault="00F96E07" w:rsidP="00A439A8">
      <w:pPr>
        <w:pStyle w:val="FootnoteText"/>
        <w:rPr>
          <w:sz w:val="16"/>
          <w:szCs w:val="16"/>
          <w:lang w:val="ru-RU"/>
        </w:rPr>
      </w:pPr>
      <w:r w:rsidRPr="00370D79">
        <w:rPr>
          <w:rStyle w:val="FootnoteReference"/>
          <w:sz w:val="16"/>
          <w:szCs w:val="16"/>
        </w:rPr>
        <w:footnoteRef/>
      </w:r>
      <w:r w:rsidR="00D80766" w:rsidRPr="00E853EB">
        <w:rPr>
          <w:sz w:val="16"/>
          <w:lang w:val="en-US"/>
        </w:rPr>
        <w:t>The r</w:t>
      </w:r>
      <w:r w:rsidR="00D47FC4" w:rsidRPr="00E853EB">
        <w:rPr>
          <w:sz w:val="16"/>
        </w:rPr>
        <w:t>reform</w:t>
      </w:r>
      <w:r w:rsidR="00D80766" w:rsidRPr="00E853EB">
        <w:rPr>
          <w:sz w:val="16"/>
        </w:rPr>
        <w:t xml:space="preserve"> of curricula according to Bologna, </w:t>
      </w:r>
      <w:r w:rsidR="00D80766" w:rsidRPr="00E853EB">
        <w:rPr>
          <w:sz w:val="16"/>
          <w:lang w:val="en-US"/>
        </w:rPr>
        <w:t>P</w:t>
      </w:r>
      <w:r w:rsidR="00D80766" w:rsidRPr="00E853EB">
        <w:rPr>
          <w:sz w:val="16"/>
        </w:rPr>
        <w:t xml:space="preserve">rof. </w:t>
      </w:r>
      <w:r w:rsidR="00D80766" w:rsidRPr="00E853EB">
        <w:rPr>
          <w:sz w:val="16"/>
          <w:lang w:val="en-US"/>
        </w:rPr>
        <w:t>PhD</w:t>
      </w:r>
      <w:r w:rsidR="00D80766" w:rsidRPr="00E853EB">
        <w:rPr>
          <w:sz w:val="16"/>
        </w:rPr>
        <w:t xml:space="preserve"> Elizabeth </w:t>
      </w:r>
      <w:proofErr w:type="spellStart"/>
      <w:r w:rsidR="00D80766" w:rsidRPr="00E853EB">
        <w:rPr>
          <w:sz w:val="16"/>
        </w:rPr>
        <w:t>Bahtovska</w:t>
      </w:r>
      <w:proofErr w:type="spellEnd"/>
      <w:r w:rsidR="00D80766" w:rsidRPr="00E853EB">
        <w:rPr>
          <w:sz w:val="16"/>
        </w:rPr>
        <w:t xml:space="preserve">, </w:t>
      </w:r>
      <w:proofErr w:type="gramStart"/>
      <w:r w:rsidR="00D80766" w:rsidRPr="00E853EB">
        <w:rPr>
          <w:sz w:val="16"/>
        </w:rPr>
        <w:t>Bologna</w:t>
      </w:r>
      <w:proofErr w:type="gramEnd"/>
      <w:r w:rsidR="00D80766" w:rsidRPr="00E853EB">
        <w:rPr>
          <w:sz w:val="16"/>
        </w:rPr>
        <w:t xml:space="preserve"> </w:t>
      </w:r>
      <w:r w:rsidR="00D80766" w:rsidRPr="00E853EB">
        <w:rPr>
          <w:sz w:val="16"/>
          <w:lang w:val="en-US"/>
        </w:rPr>
        <w:t>bulletin</w:t>
      </w:r>
      <w:r w:rsidR="00D80766" w:rsidRPr="00E853EB">
        <w:rPr>
          <w:sz w:val="16"/>
        </w:rPr>
        <w:t xml:space="preserve"> (2008). </w:t>
      </w:r>
      <w:proofErr w:type="gramStart"/>
      <w:r w:rsidR="00D80766" w:rsidRPr="00E853EB">
        <w:rPr>
          <w:sz w:val="16"/>
        </w:rPr>
        <w:t>National TEMPUS Office.</w:t>
      </w:r>
      <w:proofErr w:type="gramEnd"/>
    </w:p>
  </w:footnote>
  <w:footnote w:id="9">
    <w:p w:rsidR="00F96E07" w:rsidRPr="0048273C" w:rsidRDefault="00F96E07" w:rsidP="00AF74E1">
      <w:pPr>
        <w:pStyle w:val="FootnoteText"/>
        <w:rPr>
          <w:sz w:val="16"/>
          <w:szCs w:val="16"/>
          <w:lang w:val="ru-RU"/>
        </w:rPr>
      </w:pPr>
      <w:r w:rsidRPr="0048273C">
        <w:rPr>
          <w:rStyle w:val="FootnoteReference"/>
          <w:sz w:val="16"/>
          <w:szCs w:val="16"/>
        </w:rPr>
        <w:footnoteRef/>
      </w:r>
      <w:r w:rsidR="00D80766" w:rsidRPr="00D80766">
        <w:rPr>
          <w:b/>
          <w:sz w:val="16"/>
        </w:rPr>
        <w:t>Setting educational structures in Europe</w:t>
      </w:r>
      <w:r w:rsidR="00D80766" w:rsidRPr="00E853EB">
        <w:rPr>
          <w:sz w:val="16"/>
        </w:rPr>
        <w:t xml:space="preserve"> (TUNING</w:t>
      </w:r>
      <w:r w:rsidR="00D80766" w:rsidRPr="00E853EB">
        <w:rPr>
          <w:sz w:val="16"/>
          <w:lang w:val="bg-BG"/>
        </w:rPr>
        <w:t xml:space="preserve"> </w:t>
      </w:r>
      <w:r w:rsidR="00D80766" w:rsidRPr="00E853EB">
        <w:rPr>
          <w:sz w:val="16"/>
        </w:rPr>
        <w:t>PROJECT), Socrates - Tempus2006</w:t>
      </w:r>
    </w:p>
    <w:p w:rsidR="004D0501" w:rsidRPr="00DC1FD6" w:rsidRDefault="004D0501" w:rsidP="004D0501">
      <w:pPr>
        <w:rPr>
          <w:sz w:val="6"/>
          <w:szCs w:val="16"/>
        </w:rPr>
      </w:pPr>
      <w:r w:rsidRPr="00DC1FD6">
        <w:rPr>
          <w:sz w:val="16"/>
        </w:rPr>
        <w:t xml:space="preserve">Adjustment of educational structures in Europe (Tuning Educational Structures in Europe) – </w:t>
      </w:r>
      <w:r w:rsidRPr="00DC1FD6">
        <w:rPr>
          <w:sz w:val="16"/>
          <w:lang w:val="en-US"/>
        </w:rPr>
        <w:t xml:space="preserve">a </w:t>
      </w:r>
      <w:r w:rsidRPr="00DC1FD6">
        <w:rPr>
          <w:sz w:val="16"/>
        </w:rPr>
        <w:t xml:space="preserve">widely known and </w:t>
      </w:r>
      <w:r w:rsidRPr="00DC1FD6">
        <w:rPr>
          <w:sz w:val="16"/>
        </w:rPr>
        <w:t>frequently cited project coordinat</w:t>
      </w:r>
      <w:proofErr w:type="spellStart"/>
      <w:r w:rsidRPr="00DC1FD6">
        <w:rPr>
          <w:sz w:val="16"/>
          <w:lang w:val="en-US"/>
        </w:rPr>
        <w:t>ed</w:t>
      </w:r>
      <w:proofErr w:type="spellEnd"/>
      <w:r w:rsidRPr="00DC1FD6">
        <w:rPr>
          <w:sz w:val="16"/>
          <w:lang w:val="en-US"/>
        </w:rPr>
        <w:t xml:space="preserve"> by the</w:t>
      </w:r>
      <w:r w:rsidRPr="00DC1FD6">
        <w:rPr>
          <w:sz w:val="16"/>
        </w:rPr>
        <w:t xml:space="preserve"> University De</w:t>
      </w:r>
      <w:r w:rsidRPr="00DC1FD6">
        <w:rPr>
          <w:sz w:val="16"/>
          <w:lang w:val="en-US"/>
        </w:rPr>
        <w:t>u</w:t>
      </w:r>
      <w:r w:rsidRPr="00DC1FD6">
        <w:rPr>
          <w:sz w:val="16"/>
        </w:rPr>
        <w:t xml:space="preserve">sto in Bilbao, Spain and </w:t>
      </w:r>
      <w:r w:rsidRPr="00DC1FD6">
        <w:rPr>
          <w:sz w:val="16"/>
          <w:lang w:val="en-US"/>
        </w:rPr>
        <w:t xml:space="preserve">the </w:t>
      </w:r>
      <w:r w:rsidRPr="00DC1FD6">
        <w:rPr>
          <w:sz w:val="16"/>
        </w:rPr>
        <w:t>University of Gröningen (</w:t>
      </w:r>
      <w:r w:rsidRPr="00DC1FD6">
        <w:rPr>
          <w:sz w:val="16"/>
          <w:lang w:val="en-US"/>
        </w:rPr>
        <w:t xml:space="preserve">the </w:t>
      </w:r>
      <w:r w:rsidRPr="00DC1FD6">
        <w:rPr>
          <w:sz w:val="16"/>
        </w:rPr>
        <w:t xml:space="preserve">Netherlands). Popularly called </w:t>
      </w:r>
      <w:r w:rsidRPr="00DC1FD6">
        <w:rPr>
          <w:sz w:val="16"/>
          <w:lang w:val="en-US"/>
        </w:rPr>
        <w:t xml:space="preserve">the </w:t>
      </w:r>
      <w:r w:rsidRPr="00DC1FD6">
        <w:rPr>
          <w:sz w:val="16"/>
        </w:rPr>
        <w:t>Tuning project</w:t>
      </w:r>
      <w:r w:rsidRPr="00DC1FD6">
        <w:rPr>
          <w:sz w:val="16"/>
          <w:lang w:val="en-US"/>
        </w:rPr>
        <w:t xml:space="preserve"> it was</w:t>
      </w:r>
      <w:r w:rsidRPr="00DC1FD6">
        <w:rPr>
          <w:sz w:val="16"/>
        </w:rPr>
        <w:t xml:space="preserve"> initiated in 2000</w:t>
      </w:r>
      <w:r w:rsidRPr="00DC1FD6">
        <w:rPr>
          <w:sz w:val="16"/>
          <w:lang w:val="en-US"/>
        </w:rPr>
        <w:t>;</w:t>
      </w:r>
      <w:r w:rsidRPr="00DC1FD6">
        <w:rPr>
          <w:sz w:val="16"/>
        </w:rPr>
        <w:t xml:space="preserve"> from </w:t>
      </w:r>
      <w:r w:rsidRPr="00DC1FD6">
        <w:rPr>
          <w:sz w:val="16"/>
          <w:lang w:val="en-US"/>
        </w:rPr>
        <w:t>its</w:t>
      </w:r>
      <w:r w:rsidRPr="00DC1FD6">
        <w:rPr>
          <w:sz w:val="16"/>
        </w:rPr>
        <w:t xml:space="preserve"> start, the project </w:t>
      </w:r>
      <w:r w:rsidRPr="00DC1FD6">
        <w:rPr>
          <w:sz w:val="16"/>
          <w:lang w:val="en-US"/>
        </w:rPr>
        <w:t>had</w:t>
      </w:r>
      <w:r w:rsidRPr="00DC1FD6">
        <w:rPr>
          <w:sz w:val="16"/>
        </w:rPr>
        <w:t xml:space="preserve"> support from the European Union program Socrates – Erasmus</w:t>
      </w:r>
      <w:r w:rsidRPr="00DC1FD6">
        <w:rPr>
          <w:sz w:val="16"/>
          <w:lang w:val="en-US"/>
        </w:rPr>
        <w:t>,</w:t>
      </w:r>
      <w:r w:rsidRPr="00DC1FD6">
        <w:rPr>
          <w:sz w:val="16"/>
        </w:rPr>
        <w:t xml:space="preserve"> and </w:t>
      </w:r>
      <w:r w:rsidRPr="00DC1FD6">
        <w:rPr>
          <w:sz w:val="16"/>
          <w:lang w:val="en-US"/>
        </w:rPr>
        <w:t xml:space="preserve">in </w:t>
      </w:r>
      <w:r w:rsidRPr="00DC1FD6">
        <w:rPr>
          <w:sz w:val="16"/>
        </w:rPr>
        <w:t xml:space="preserve">the second phase - Tempus, </w:t>
      </w:r>
      <w:r w:rsidRPr="00DC1FD6">
        <w:rPr>
          <w:sz w:val="16"/>
          <w:lang w:val="en-US"/>
        </w:rPr>
        <w:t xml:space="preserve">it managed </w:t>
      </w:r>
      <w:r w:rsidRPr="00DC1FD6">
        <w:rPr>
          <w:sz w:val="16"/>
        </w:rPr>
        <w:t xml:space="preserve"> to include more than 150 universities in Europe with a common goal</w:t>
      </w:r>
      <w:r w:rsidRPr="00DC1FD6">
        <w:rPr>
          <w:sz w:val="16"/>
          <w:lang w:val="en-US"/>
        </w:rPr>
        <w:t>:</w:t>
      </w:r>
      <w:r w:rsidRPr="00DC1FD6">
        <w:rPr>
          <w:sz w:val="16"/>
        </w:rPr>
        <w:t xml:space="preserve"> "harmonization of educational structures." In the third stage the universities of the Western Balkans</w:t>
      </w:r>
      <w:r w:rsidRPr="00DC1FD6">
        <w:rPr>
          <w:sz w:val="16"/>
          <w:lang w:val="en-US"/>
        </w:rPr>
        <w:t xml:space="preserve"> are included</w:t>
      </w:r>
      <w:r w:rsidRPr="00DC1FD6">
        <w:rPr>
          <w:sz w:val="16"/>
        </w:rPr>
        <w:t>.</w:t>
      </w:r>
    </w:p>
    <w:p w:rsidR="00F74F07" w:rsidRPr="00A46969" w:rsidRDefault="00F74F07" w:rsidP="00F74F07">
      <w:pPr>
        <w:rPr>
          <w:sz w:val="14"/>
          <w:szCs w:val="16"/>
          <w:lang w:val="en-US"/>
        </w:rPr>
      </w:pPr>
      <w:r w:rsidRPr="00A46969">
        <w:rPr>
          <w:sz w:val="16"/>
          <w:lang w:val="en-US"/>
        </w:rPr>
        <w:t>The j</w:t>
      </w:r>
      <w:r w:rsidRPr="00A46969">
        <w:rPr>
          <w:sz w:val="16"/>
        </w:rPr>
        <w:t xml:space="preserve">oint project of a group of researchers from eight universities in Bosnia and Herzegovina, Croatia, Macedonia, Montenegro and Serbia, managed and coordinated by the Belgrade Center for Educational Policy, </w:t>
      </w:r>
      <w:r w:rsidRPr="00A46969">
        <w:rPr>
          <w:sz w:val="16"/>
          <w:lang w:val="en-US"/>
        </w:rPr>
        <w:t xml:space="preserve">is </w:t>
      </w:r>
      <w:r w:rsidRPr="00A46969">
        <w:rPr>
          <w:sz w:val="16"/>
        </w:rPr>
        <w:t>a reference indicator</w:t>
      </w:r>
      <w:r w:rsidRPr="00A46969">
        <w:rPr>
          <w:sz w:val="16"/>
          <w:lang w:val="en-US"/>
        </w:rPr>
        <w:t xml:space="preserve"> of an </w:t>
      </w:r>
      <w:r w:rsidRPr="00A46969">
        <w:rPr>
          <w:sz w:val="16"/>
        </w:rPr>
        <w:t xml:space="preserve">array </w:t>
      </w:r>
      <w:r w:rsidRPr="00A46969">
        <w:rPr>
          <w:sz w:val="16"/>
          <w:lang w:val="en-US"/>
        </w:rPr>
        <w:t xml:space="preserve">of </w:t>
      </w:r>
      <w:r w:rsidRPr="00A46969">
        <w:rPr>
          <w:sz w:val="16"/>
        </w:rPr>
        <w:t xml:space="preserve">structural changes that occur and should occur in the </w:t>
      </w:r>
      <w:r w:rsidRPr="00A46969">
        <w:rPr>
          <w:sz w:val="16"/>
          <w:lang w:val="en-US"/>
        </w:rPr>
        <w:t>area</w:t>
      </w:r>
      <w:r w:rsidRPr="00A46969">
        <w:rPr>
          <w:sz w:val="16"/>
        </w:rPr>
        <w:t xml:space="preserve"> of </w:t>
      </w:r>
      <w:r w:rsidRPr="00A46969">
        <w:rPr>
          <w:sz w:val="16"/>
          <w:lang w:val="en-US"/>
        </w:rPr>
        <w:t>t</w:t>
      </w:r>
      <w:r w:rsidRPr="00A46969">
        <w:rPr>
          <w:sz w:val="16"/>
        </w:rPr>
        <w:t>he curricula of the institutions educat</w:t>
      </w:r>
      <w:proofErr w:type="spellStart"/>
      <w:r w:rsidRPr="00A46969">
        <w:rPr>
          <w:sz w:val="16"/>
          <w:lang w:val="en-US"/>
        </w:rPr>
        <w:t>ing</w:t>
      </w:r>
      <w:proofErr w:type="spellEnd"/>
      <w:r w:rsidRPr="00A46969">
        <w:rPr>
          <w:sz w:val="16"/>
        </w:rPr>
        <w:t xml:space="preserve"> </w:t>
      </w:r>
      <w:r w:rsidRPr="00A46969">
        <w:rPr>
          <w:sz w:val="16"/>
          <w:lang w:val="en-US"/>
        </w:rPr>
        <w:t>teachers who will later take part in</w:t>
      </w:r>
      <w:r w:rsidRPr="00A46969">
        <w:rPr>
          <w:sz w:val="16"/>
        </w:rPr>
        <w:t xml:space="preserve"> the educational process.</w:t>
      </w:r>
    </w:p>
    <w:p w:rsidR="00F74F07" w:rsidRPr="00A46969" w:rsidRDefault="00F74F07" w:rsidP="00F74F07">
      <w:pPr>
        <w:rPr>
          <w:sz w:val="14"/>
          <w:szCs w:val="16"/>
          <w:lang w:val="en-US"/>
        </w:rPr>
      </w:pPr>
      <w:r w:rsidRPr="00A46969">
        <w:rPr>
          <w:sz w:val="16"/>
        </w:rPr>
        <w:t xml:space="preserve">The </w:t>
      </w:r>
      <w:r w:rsidRPr="00A46969">
        <w:rPr>
          <w:sz w:val="16"/>
          <w:lang w:val="en-US"/>
        </w:rPr>
        <w:t>goal</w:t>
      </w:r>
      <w:r w:rsidRPr="00A46969">
        <w:rPr>
          <w:sz w:val="16"/>
        </w:rPr>
        <w:t xml:space="preserve"> is to establish a common European </w:t>
      </w:r>
      <w:r w:rsidRPr="00A46969">
        <w:rPr>
          <w:sz w:val="16"/>
          <w:lang w:val="en-US"/>
        </w:rPr>
        <w:t>area</w:t>
      </w:r>
      <w:r w:rsidRPr="00A46969">
        <w:rPr>
          <w:sz w:val="16"/>
        </w:rPr>
        <w:t xml:space="preserve"> </w:t>
      </w:r>
      <w:r w:rsidRPr="00A46969">
        <w:rPr>
          <w:sz w:val="16"/>
          <w:lang w:val="en-US"/>
        </w:rPr>
        <w:t>of</w:t>
      </w:r>
      <w:r w:rsidRPr="00A46969">
        <w:rPr>
          <w:sz w:val="16"/>
        </w:rPr>
        <w:t xml:space="preserve"> higher education by </w:t>
      </w:r>
      <w:r w:rsidRPr="00A46969">
        <w:rPr>
          <w:sz w:val="16"/>
          <w:lang w:val="en-US"/>
        </w:rPr>
        <w:t xml:space="preserve">the year </w:t>
      </w:r>
      <w:r w:rsidRPr="00A46969">
        <w:rPr>
          <w:sz w:val="16"/>
        </w:rPr>
        <w:t xml:space="preserve">2010. This is a very rare project </w:t>
      </w:r>
      <w:r w:rsidRPr="00A46969">
        <w:rPr>
          <w:sz w:val="16"/>
          <w:lang w:val="en-US"/>
        </w:rPr>
        <w:t xml:space="preserve">dealing with the </w:t>
      </w:r>
      <w:r w:rsidRPr="00A46969">
        <w:rPr>
          <w:sz w:val="16"/>
        </w:rPr>
        <w:t>curricula of teacher education.</w:t>
      </w:r>
    </w:p>
    <w:p w:rsidR="00F96E07" w:rsidRPr="00342150" w:rsidRDefault="00F74F07" w:rsidP="00342150">
      <w:pPr>
        <w:rPr>
          <w:sz w:val="20"/>
          <w:szCs w:val="20"/>
          <w:lang w:val="ru-RU"/>
        </w:rPr>
      </w:pPr>
      <w:r w:rsidRPr="00A46969">
        <w:rPr>
          <w:sz w:val="16"/>
        </w:rPr>
        <w:t>Since 1999, the most representative expression of the process of Europeanization (which is geopolitical</w:t>
      </w:r>
      <w:proofErr w:type="spellStart"/>
      <w:r w:rsidRPr="00A46969">
        <w:rPr>
          <w:sz w:val="16"/>
          <w:lang w:val="en-US"/>
        </w:rPr>
        <w:t>ly</w:t>
      </w:r>
      <w:proofErr w:type="spellEnd"/>
      <w:r w:rsidRPr="00A46969">
        <w:rPr>
          <w:sz w:val="16"/>
        </w:rPr>
        <w:t xml:space="preserve"> wider </w:t>
      </w:r>
      <w:r w:rsidRPr="00A46969">
        <w:rPr>
          <w:sz w:val="16"/>
          <w:lang w:val="en-US"/>
        </w:rPr>
        <w:t xml:space="preserve">than </w:t>
      </w:r>
      <w:r w:rsidRPr="00A46969">
        <w:rPr>
          <w:sz w:val="16"/>
        </w:rPr>
        <w:t xml:space="preserve">EU) in the context of higher education was initiated by the Bologna process. In fact, it is a response to </w:t>
      </w:r>
      <w:r w:rsidRPr="00A46969">
        <w:rPr>
          <w:sz w:val="16"/>
          <w:lang w:val="en-US"/>
        </w:rPr>
        <w:t xml:space="preserve">the </w:t>
      </w:r>
      <w:r w:rsidRPr="00A46969">
        <w:rPr>
          <w:sz w:val="16"/>
        </w:rPr>
        <w:t>"internal" (i</w:t>
      </w:r>
      <w:r w:rsidRPr="00A46969">
        <w:rPr>
          <w:sz w:val="16"/>
          <w:lang w:val="en-US"/>
        </w:rPr>
        <w:t>.</w:t>
      </w:r>
      <w:r w:rsidRPr="00A46969">
        <w:rPr>
          <w:sz w:val="16"/>
        </w:rPr>
        <w:t>e</w:t>
      </w:r>
      <w:r w:rsidRPr="00A46969">
        <w:rPr>
          <w:sz w:val="16"/>
          <w:lang w:val="en-US"/>
        </w:rPr>
        <w:t>.</w:t>
      </w:r>
      <w:r w:rsidRPr="00A46969">
        <w:rPr>
          <w:sz w:val="16"/>
        </w:rPr>
        <w:t xml:space="preserve"> European) challenges of the nineties, </w:t>
      </w:r>
      <w:r w:rsidRPr="00A46969">
        <w:rPr>
          <w:sz w:val="16"/>
          <w:lang w:val="en-US"/>
        </w:rPr>
        <w:t>above all</w:t>
      </w:r>
      <w:r w:rsidRPr="00A46969">
        <w:rPr>
          <w:sz w:val="16"/>
        </w:rPr>
        <w:t xml:space="preserve">, </w:t>
      </w:r>
      <w:r w:rsidRPr="00A46969">
        <w:rPr>
          <w:sz w:val="16"/>
          <w:lang w:val="en-US"/>
        </w:rPr>
        <w:t xml:space="preserve">it is a </w:t>
      </w:r>
      <w:r w:rsidRPr="00A46969">
        <w:rPr>
          <w:sz w:val="16"/>
        </w:rPr>
        <w:t xml:space="preserve">call </w:t>
      </w:r>
      <w:r w:rsidRPr="00A46969">
        <w:rPr>
          <w:sz w:val="16"/>
          <w:lang w:val="en-US"/>
        </w:rPr>
        <w:t xml:space="preserve">to the </w:t>
      </w:r>
      <w:r w:rsidRPr="00A46969">
        <w:rPr>
          <w:sz w:val="16"/>
        </w:rPr>
        <w:t>convergence of different, even incompatible national systems, but simultaneously</w:t>
      </w:r>
      <w:r w:rsidRPr="00A46969">
        <w:rPr>
          <w:sz w:val="16"/>
          <w:lang w:val="en-US"/>
        </w:rPr>
        <w:t>,</w:t>
      </w:r>
      <w:r w:rsidRPr="00A46969">
        <w:rPr>
          <w:sz w:val="16"/>
        </w:rPr>
        <w:t xml:space="preserve"> a response to the processes </w:t>
      </w:r>
      <w:r w:rsidRPr="00A46969">
        <w:rPr>
          <w:sz w:val="16"/>
          <w:lang w:val="en-US"/>
        </w:rPr>
        <w:t xml:space="preserve">of globalization </w:t>
      </w:r>
      <w:r w:rsidRPr="00A46969">
        <w:rPr>
          <w:sz w:val="16"/>
        </w:rPr>
        <w:t>(for example: the issue of competitiveness and attractiveness of higher education globally).</w:t>
      </w:r>
    </w:p>
  </w:footnote>
  <w:footnote w:id="10">
    <w:p w:rsidR="00F96E07" w:rsidRPr="00074520" w:rsidRDefault="00F96E07" w:rsidP="00074520">
      <w:pPr>
        <w:rPr>
          <w:sz w:val="14"/>
          <w:szCs w:val="16"/>
          <w:lang w:val="en-US"/>
        </w:rPr>
      </w:pPr>
      <w:r w:rsidRPr="00FB27E6">
        <w:rPr>
          <w:rStyle w:val="FootnoteReference"/>
          <w:sz w:val="16"/>
          <w:szCs w:val="16"/>
        </w:rPr>
        <w:footnoteRef/>
      </w:r>
      <w:r w:rsidR="008F70C0">
        <w:rPr>
          <w:sz w:val="16"/>
          <w:lang w:val="en-US"/>
        </w:rPr>
        <w:t xml:space="preserve">The </w:t>
      </w:r>
      <w:r w:rsidR="00074520" w:rsidRPr="00651B21">
        <w:rPr>
          <w:sz w:val="16"/>
        </w:rPr>
        <w:t>Sorbonne Declaration 25</w:t>
      </w:r>
      <w:r w:rsidR="00074520" w:rsidRPr="00651B21">
        <w:rPr>
          <w:sz w:val="16"/>
          <w:lang w:val="en-US"/>
        </w:rPr>
        <w:t xml:space="preserve"> May</w:t>
      </w:r>
      <w:r w:rsidR="00074520" w:rsidRPr="00651B21">
        <w:rPr>
          <w:sz w:val="16"/>
        </w:rPr>
        <w:t xml:space="preserve"> 1998 </w:t>
      </w:r>
      <w:r w:rsidR="00074520" w:rsidRPr="00651B21">
        <w:rPr>
          <w:sz w:val="16"/>
          <w:lang w:val="en-US"/>
        </w:rPr>
        <w:t>h</w:t>
      </w:r>
      <w:r w:rsidR="00074520" w:rsidRPr="00651B21">
        <w:rPr>
          <w:sz w:val="16"/>
        </w:rPr>
        <w:t xml:space="preserve">ighlights the major role of universities in </w:t>
      </w:r>
      <w:r w:rsidR="00074520" w:rsidRPr="00651B21">
        <w:rPr>
          <w:sz w:val="16"/>
          <w:lang w:val="en-US"/>
        </w:rPr>
        <w:t xml:space="preserve">the </w:t>
      </w:r>
      <w:r w:rsidR="00074520" w:rsidRPr="00651B21">
        <w:rPr>
          <w:sz w:val="16"/>
        </w:rPr>
        <w:t>develop</w:t>
      </w:r>
      <w:proofErr w:type="spellStart"/>
      <w:r w:rsidR="00687F1B">
        <w:rPr>
          <w:sz w:val="16"/>
          <w:lang w:val="en-US"/>
        </w:rPr>
        <w:t>ment</w:t>
      </w:r>
      <w:proofErr w:type="spellEnd"/>
      <w:r w:rsidR="00687F1B">
        <w:rPr>
          <w:sz w:val="16"/>
          <w:lang w:val="en-US"/>
        </w:rPr>
        <w:t xml:space="preserve"> of</w:t>
      </w:r>
      <w:r w:rsidR="00074520" w:rsidRPr="00651B21">
        <w:rPr>
          <w:sz w:val="16"/>
        </w:rPr>
        <w:t xml:space="preserve"> </w:t>
      </w:r>
      <w:r w:rsidR="00074520" w:rsidRPr="00651B21">
        <w:rPr>
          <w:sz w:val="16"/>
          <w:lang w:val="en-US"/>
        </w:rPr>
        <w:t xml:space="preserve">the </w:t>
      </w:r>
      <w:r w:rsidR="00074520" w:rsidRPr="00651B21">
        <w:rPr>
          <w:sz w:val="16"/>
        </w:rPr>
        <w:t xml:space="preserve">European cultural dimension. This declaration specifies that the creation of a European </w:t>
      </w:r>
      <w:r w:rsidR="00074520" w:rsidRPr="00651B21">
        <w:rPr>
          <w:sz w:val="16"/>
          <w:lang w:val="en-US"/>
        </w:rPr>
        <w:t xml:space="preserve">area of higher </w:t>
      </w:r>
      <w:r w:rsidR="00074520" w:rsidRPr="00651B21">
        <w:rPr>
          <w:sz w:val="16"/>
        </w:rPr>
        <w:t>education is crucial to promote mobility of citizens and their employment, a</w:t>
      </w:r>
      <w:r w:rsidR="00074520" w:rsidRPr="00651B21">
        <w:rPr>
          <w:sz w:val="16"/>
          <w:lang w:val="en-US"/>
        </w:rPr>
        <w:t xml:space="preserve">s well as for the </w:t>
      </w:r>
      <w:r w:rsidR="00074520" w:rsidRPr="00651B21">
        <w:rPr>
          <w:sz w:val="16"/>
        </w:rPr>
        <w:t xml:space="preserve">overall development of the Continent. This declaration initiated reforms in higher education in Europe and </w:t>
      </w:r>
      <w:r w:rsidR="00074520" w:rsidRPr="00651B21">
        <w:rPr>
          <w:sz w:val="16"/>
          <w:lang w:val="en-US"/>
        </w:rPr>
        <w:t xml:space="preserve">it </w:t>
      </w:r>
      <w:r w:rsidR="00074520" w:rsidRPr="00651B21">
        <w:rPr>
          <w:sz w:val="16"/>
        </w:rPr>
        <w:t xml:space="preserve">confirms the willingness of governments to act in this </w:t>
      </w:r>
      <w:r w:rsidR="00074520" w:rsidRPr="00651B21">
        <w:rPr>
          <w:sz w:val="16"/>
          <w:lang w:val="en-US"/>
        </w:rPr>
        <w:t>direction</w:t>
      </w:r>
      <w:r w:rsidR="00074520" w:rsidRPr="00651B21">
        <w:rPr>
          <w:sz w:val="16"/>
        </w:rPr>
        <w:t>. European higher education institutions have accepted the challenge and took the lead</w:t>
      </w:r>
      <w:proofErr w:type="spellStart"/>
      <w:r w:rsidR="00074520" w:rsidRPr="00651B21">
        <w:rPr>
          <w:sz w:val="16"/>
          <w:lang w:val="en-US"/>
        </w:rPr>
        <w:t>ing</w:t>
      </w:r>
      <w:proofErr w:type="spellEnd"/>
      <w:r w:rsidR="00074520" w:rsidRPr="00651B21">
        <w:rPr>
          <w:sz w:val="16"/>
        </w:rPr>
        <w:t xml:space="preserve"> role in creating a European space in the spirit of the fundamental principles laid down in the charter of Magna</w:t>
      </w:r>
      <w:r w:rsidR="00074520" w:rsidRPr="00651B21">
        <w:rPr>
          <w:sz w:val="16"/>
          <w:lang w:val="en-US"/>
        </w:rPr>
        <w:t xml:space="preserve"> </w:t>
      </w:r>
      <w:r w:rsidR="00074520" w:rsidRPr="00651B21">
        <w:rPr>
          <w:sz w:val="16"/>
        </w:rPr>
        <w:t>Charta</w:t>
      </w:r>
      <w:r w:rsidR="00074520" w:rsidRPr="00651B21">
        <w:rPr>
          <w:sz w:val="16"/>
          <w:lang w:val="en-US"/>
        </w:rPr>
        <w:t xml:space="preserve"> </w:t>
      </w:r>
      <w:r w:rsidR="00074520" w:rsidRPr="00651B21">
        <w:rPr>
          <w:sz w:val="16"/>
        </w:rPr>
        <w:t>Universitatum</w:t>
      </w:r>
      <w:r w:rsidR="00074520" w:rsidRPr="00651B21">
        <w:rPr>
          <w:sz w:val="16"/>
          <w:lang w:val="en-US"/>
        </w:rPr>
        <w:t xml:space="preserve">, </w:t>
      </w:r>
      <w:r w:rsidR="00074520" w:rsidRPr="00651B21">
        <w:rPr>
          <w:sz w:val="16"/>
        </w:rPr>
        <w:t>Bologna 1988</w:t>
      </w:r>
      <w:r w:rsidR="00074520" w:rsidRPr="00651B21">
        <w:rPr>
          <w:sz w:val="16"/>
          <w:lang w:val="en-US"/>
        </w:rPr>
        <w:t>.</w:t>
      </w:r>
    </w:p>
  </w:footnote>
  <w:footnote w:id="11">
    <w:p w:rsidR="00F96E07" w:rsidRPr="00FB27E6" w:rsidRDefault="00F96E07" w:rsidP="004A5782">
      <w:pPr>
        <w:rPr>
          <w:sz w:val="16"/>
          <w:szCs w:val="16"/>
          <w:lang w:val="mk-MK"/>
        </w:rPr>
      </w:pPr>
      <w:r w:rsidRPr="00FB27E6">
        <w:rPr>
          <w:rStyle w:val="FootnoteReference"/>
          <w:b/>
          <w:sz w:val="16"/>
          <w:szCs w:val="16"/>
        </w:rPr>
        <w:footnoteRef/>
      </w:r>
      <w:r w:rsidR="00074520" w:rsidRPr="00651B21">
        <w:rPr>
          <w:b/>
          <w:sz w:val="16"/>
          <w:lang w:val="en-US"/>
        </w:rPr>
        <w:t xml:space="preserve">The </w:t>
      </w:r>
      <w:r w:rsidR="00074520" w:rsidRPr="00651B21">
        <w:rPr>
          <w:b/>
          <w:sz w:val="16"/>
        </w:rPr>
        <w:t>European system of transfer and accumulation of credits</w:t>
      </w:r>
      <w:r w:rsidR="00074520" w:rsidRPr="00651B21">
        <w:rPr>
          <w:sz w:val="16"/>
        </w:rPr>
        <w:t xml:space="preserve"> </w:t>
      </w:r>
      <w:r w:rsidR="00074520" w:rsidRPr="00651B21">
        <w:rPr>
          <w:sz w:val="16"/>
          <w:lang w:val="en-US"/>
        </w:rPr>
        <w:t>(</w:t>
      </w:r>
      <w:r w:rsidR="00074520" w:rsidRPr="00651B21">
        <w:rPr>
          <w:sz w:val="16"/>
        </w:rPr>
        <w:t>ECTS</w:t>
      </w:r>
      <w:r w:rsidR="00074520" w:rsidRPr="00651B21">
        <w:rPr>
          <w:sz w:val="16"/>
          <w:lang w:val="en-US"/>
        </w:rPr>
        <w:t>)</w:t>
      </w:r>
      <w:r w:rsidR="00074520" w:rsidRPr="00651B21">
        <w:rPr>
          <w:sz w:val="16"/>
        </w:rPr>
        <w:t xml:space="preserve"> is based on a </w:t>
      </w:r>
      <w:r w:rsidR="00074520" w:rsidRPr="00651B21">
        <w:rPr>
          <w:sz w:val="16"/>
          <w:lang w:val="en-US"/>
        </w:rPr>
        <w:t xml:space="preserve">certain </w:t>
      </w:r>
      <w:r w:rsidR="00074520" w:rsidRPr="00651B21">
        <w:rPr>
          <w:sz w:val="16"/>
        </w:rPr>
        <w:t>number ofprinciples</w:t>
      </w:r>
      <w:r w:rsidRPr="00FB27E6">
        <w:rPr>
          <w:sz w:val="16"/>
          <w:szCs w:val="16"/>
          <w:lang w:val="mk-MK"/>
        </w:rPr>
        <w:t>.</w:t>
      </w:r>
    </w:p>
    <w:p w:rsidR="00074520" w:rsidRDefault="00074520" w:rsidP="004A5782">
      <w:pPr>
        <w:rPr>
          <w:sz w:val="16"/>
          <w:szCs w:val="16"/>
          <w:lang w:val="en-US"/>
        </w:rPr>
      </w:pPr>
      <w:r w:rsidRPr="00651B21">
        <w:rPr>
          <w:sz w:val="16"/>
        </w:rPr>
        <w:t xml:space="preserve">One academic year of </w:t>
      </w:r>
      <w:r w:rsidRPr="00651B21">
        <w:rPr>
          <w:sz w:val="16"/>
          <w:lang w:val="en-US"/>
        </w:rPr>
        <w:t xml:space="preserve">a </w:t>
      </w:r>
      <w:r w:rsidRPr="00651B21">
        <w:rPr>
          <w:sz w:val="16"/>
        </w:rPr>
        <w:t>full-time student has an absolute value of 60 credits</w:t>
      </w:r>
      <w:r>
        <w:rPr>
          <w:sz w:val="16"/>
          <w:lang w:val="en-US"/>
        </w:rPr>
        <w:t>:</w:t>
      </w:r>
      <w:r w:rsidRPr="00651B21">
        <w:rPr>
          <w:sz w:val="16"/>
        </w:rPr>
        <w:t xml:space="preserve"> </w:t>
      </w:r>
    </w:p>
    <w:p w:rsidR="00F96E07" w:rsidRDefault="00F96E07" w:rsidP="004A5782">
      <w:pPr>
        <w:rPr>
          <w:sz w:val="16"/>
          <w:szCs w:val="16"/>
          <w:lang w:val="mk-MK"/>
        </w:rPr>
      </w:pPr>
      <w:r w:rsidRPr="00FB27E6">
        <w:rPr>
          <w:sz w:val="16"/>
          <w:szCs w:val="16"/>
          <w:lang w:val="mk-MK"/>
        </w:rPr>
        <w:t xml:space="preserve">- </w:t>
      </w:r>
      <w:r w:rsidR="00074520" w:rsidRPr="00651B21">
        <w:rPr>
          <w:sz w:val="16"/>
        </w:rPr>
        <w:t>60 credits represent the average load of about 1500 hours, corresponding to approximately 25 students</w:t>
      </w:r>
      <w:r w:rsidR="00074520" w:rsidRPr="00651B21">
        <w:rPr>
          <w:sz w:val="16"/>
          <w:lang w:val="en-US"/>
        </w:rPr>
        <w:t xml:space="preserve">’ working </w:t>
      </w:r>
      <w:r w:rsidR="00074520" w:rsidRPr="00651B21">
        <w:rPr>
          <w:sz w:val="16"/>
        </w:rPr>
        <w:t>hours per credit.</w:t>
      </w:r>
    </w:p>
    <w:p w:rsidR="00F96E07" w:rsidRDefault="00F96E07" w:rsidP="004A5782">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556"/>
    <w:multiLevelType w:val="hybridMultilevel"/>
    <w:tmpl w:val="13CE31C4"/>
    <w:lvl w:ilvl="0" w:tplc="A14C50DC">
      <w:start w:val="1"/>
      <w:numFmt w:val="decimal"/>
      <w:lvlText w:val="%1."/>
      <w:lvlJc w:val="left"/>
      <w:pPr>
        <w:tabs>
          <w:tab w:val="num" w:pos="1080"/>
        </w:tabs>
        <w:ind w:left="1080" w:hanging="360"/>
      </w:pPr>
      <w:rPr>
        <w:b/>
        <w:sz w:val="22"/>
        <w:szCs w:val="22"/>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
    <w:nsid w:val="607A6E5B"/>
    <w:multiLevelType w:val="hybridMultilevel"/>
    <w:tmpl w:val="CA7A4B22"/>
    <w:lvl w:ilvl="0" w:tplc="7D7EA75A">
      <w:start w:val="2"/>
      <w:numFmt w:val="bullet"/>
      <w:lvlText w:val="-"/>
      <w:lvlJc w:val="left"/>
      <w:pPr>
        <w:tabs>
          <w:tab w:val="num" w:pos="1785"/>
        </w:tabs>
        <w:ind w:left="1785" w:hanging="1065"/>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6285"/>
    <w:rsid w:val="00004DC1"/>
    <w:rsid w:val="00025BBA"/>
    <w:rsid w:val="00055A8A"/>
    <w:rsid w:val="00074520"/>
    <w:rsid w:val="00087DF0"/>
    <w:rsid w:val="000C5433"/>
    <w:rsid w:val="000E21F3"/>
    <w:rsid w:val="000E2AA7"/>
    <w:rsid w:val="001258E5"/>
    <w:rsid w:val="00185C4F"/>
    <w:rsid w:val="0021578F"/>
    <w:rsid w:val="00227D21"/>
    <w:rsid w:val="00266304"/>
    <w:rsid w:val="002A4DAE"/>
    <w:rsid w:val="0031508C"/>
    <w:rsid w:val="00342150"/>
    <w:rsid w:val="00351617"/>
    <w:rsid w:val="003D0A9B"/>
    <w:rsid w:val="00485D44"/>
    <w:rsid w:val="004A5782"/>
    <w:rsid w:val="004D0501"/>
    <w:rsid w:val="005259A6"/>
    <w:rsid w:val="005317BC"/>
    <w:rsid w:val="00537662"/>
    <w:rsid w:val="00557DF6"/>
    <w:rsid w:val="005A29B8"/>
    <w:rsid w:val="006362E4"/>
    <w:rsid w:val="00687F1B"/>
    <w:rsid w:val="006A52B1"/>
    <w:rsid w:val="006F2DD2"/>
    <w:rsid w:val="006F5EC6"/>
    <w:rsid w:val="007634E6"/>
    <w:rsid w:val="007A6285"/>
    <w:rsid w:val="008170D9"/>
    <w:rsid w:val="008321CF"/>
    <w:rsid w:val="00864D17"/>
    <w:rsid w:val="008A6EFB"/>
    <w:rsid w:val="008D6477"/>
    <w:rsid w:val="008F70C0"/>
    <w:rsid w:val="00925E57"/>
    <w:rsid w:val="00973805"/>
    <w:rsid w:val="00986ACA"/>
    <w:rsid w:val="009B79F1"/>
    <w:rsid w:val="009E236E"/>
    <w:rsid w:val="009F190A"/>
    <w:rsid w:val="00A3550C"/>
    <w:rsid w:val="00A439A8"/>
    <w:rsid w:val="00AF74E1"/>
    <w:rsid w:val="00B32347"/>
    <w:rsid w:val="00B4416D"/>
    <w:rsid w:val="00B52297"/>
    <w:rsid w:val="00B53DA7"/>
    <w:rsid w:val="00B5742C"/>
    <w:rsid w:val="00BF1B15"/>
    <w:rsid w:val="00C12CE3"/>
    <w:rsid w:val="00C23DEF"/>
    <w:rsid w:val="00C44118"/>
    <w:rsid w:val="00CB1F6A"/>
    <w:rsid w:val="00CC68EB"/>
    <w:rsid w:val="00CE5F93"/>
    <w:rsid w:val="00CF7D1E"/>
    <w:rsid w:val="00D40A31"/>
    <w:rsid w:val="00D47FC4"/>
    <w:rsid w:val="00D80766"/>
    <w:rsid w:val="00D93961"/>
    <w:rsid w:val="00DC6E81"/>
    <w:rsid w:val="00DC7FAC"/>
    <w:rsid w:val="00E0629A"/>
    <w:rsid w:val="00E3104A"/>
    <w:rsid w:val="00E42184"/>
    <w:rsid w:val="00E42392"/>
    <w:rsid w:val="00E56505"/>
    <w:rsid w:val="00EC46B6"/>
    <w:rsid w:val="00EE1A86"/>
    <w:rsid w:val="00F0123F"/>
    <w:rsid w:val="00F74F07"/>
    <w:rsid w:val="00F96E07"/>
    <w:rsid w:val="00FA0790"/>
    <w:rsid w:val="00FC529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85"/>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2E4"/>
    <w:rPr>
      <w:sz w:val="20"/>
      <w:szCs w:val="20"/>
      <w:lang w:val="en-GB" w:eastAsia="en-GB"/>
    </w:rPr>
  </w:style>
  <w:style w:type="character" w:customStyle="1" w:styleId="FootnoteTextChar">
    <w:name w:val="Footnote Text Char"/>
    <w:basedOn w:val="DefaultParagraphFont"/>
    <w:link w:val="FootnoteText"/>
    <w:uiPriority w:val="99"/>
    <w:semiHidden/>
    <w:rsid w:val="006362E4"/>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6362E4"/>
    <w:rPr>
      <w:vertAlign w:val="superscript"/>
    </w:rPr>
  </w:style>
  <w:style w:type="paragraph" w:styleId="ListParagraph">
    <w:name w:val="List Paragraph"/>
    <w:basedOn w:val="Normal"/>
    <w:uiPriority w:val="34"/>
    <w:qFormat/>
    <w:rsid w:val="00AF7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8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362E4"/>
    <w:rPr>
      <w:sz w:val="20"/>
      <w:szCs w:val="20"/>
      <w:lang w:val="en-GB" w:eastAsia="en-GB"/>
    </w:rPr>
  </w:style>
  <w:style w:type="character" w:customStyle="1" w:styleId="FootnoteTextChar">
    <w:name w:val="Footnote Text Char"/>
    <w:basedOn w:val="DefaultParagraphFont"/>
    <w:link w:val="FootnoteText"/>
    <w:uiPriority w:val="99"/>
    <w:semiHidden/>
    <w:rsid w:val="006362E4"/>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rsid w:val="006362E4"/>
    <w:rPr>
      <w:vertAlign w:val="superscript"/>
    </w:rPr>
  </w:style>
  <w:style w:type="paragraph" w:styleId="ListParagraph">
    <w:name w:val="List Paragraph"/>
    <w:basedOn w:val="Normal"/>
    <w:uiPriority w:val="34"/>
    <w:qFormat/>
    <w:rsid w:val="00AF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3193">
      <w:bodyDiv w:val="1"/>
      <w:marLeft w:val="0"/>
      <w:marRight w:val="0"/>
      <w:marTop w:val="0"/>
      <w:marBottom w:val="0"/>
      <w:divBdr>
        <w:top w:val="none" w:sz="0" w:space="0" w:color="auto"/>
        <w:left w:val="none" w:sz="0" w:space="0" w:color="auto"/>
        <w:bottom w:val="none" w:sz="0" w:space="0" w:color="auto"/>
        <w:right w:val="none" w:sz="0" w:space="0" w:color="auto"/>
      </w:divBdr>
      <w:divsChild>
        <w:div w:id="1999768905">
          <w:marLeft w:val="0"/>
          <w:marRight w:val="0"/>
          <w:marTop w:val="0"/>
          <w:marBottom w:val="0"/>
          <w:divBdr>
            <w:top w:val="none" w:sz="0" w:space="0" w:color="auto"/>
            <w:left w:val="none" w:sz="0" w:space="0" w:color="auto"/>
            <w:bottom w:val="none" w:sz="0" w:space="0" w:color="auto"/>
            <w:right w:val="none" w:sz="0" w:space="0" w:color="auto"/>
          </w:divBdr>
          <w:divsChild>
            <w:div w:id="1308128891">
              <w:marLeft w:val="0"/>
              <w:marRight w:val="0"/>
              <w:marTop w:val="0"/>
              <w:marBottom w:val="0"/>
              <w:divBdr>
                <w:top w:val="none" w:sz="0" w:space="0" w:color="auto"/>
                <w:left w:val="none" w:sz="0" w:space="0" w:color="auto"/>
                <w:bottom w:val="none" w:sz="0" w:space="0" w:color="auto"/>
                <w:right w:val="none" w:sz="0" w:space="0" w:color="auto"/>
              </w:divBdr>
              <w:divsChild>
                <w:div w:id="14648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2168">
      <w:bodyDiv w:val="1"/>
      <w:marLeft w:val="0"/>
      <w:marRight w:val="0"/>
      <w:marTop w:val="0"/>
      <w:marBottom w:val="0"/>
      <w:divBdr>
        <w:top w:val="none" w:sz="0" w:space="0" w:color="auto"/>
        <w:left w:val="none" w:sz="0" w:space="0" w:color="auto"/>
        <w:bottom w:val="none" w:sz="0" w:space="0" w:color="auto"/>
        <w:right w:val="none" w:sz="0" w:space="0" w:color="auto"/>
      </w:divBdr>
    </w:div>
    <w:div w:id="1601063542">
      <w:bodyDiv w:val="1"/>
      <w:marLeft w:val="0"/>
      <w:marRight w:val="0"/>
      <w:marTop w:val="0"/>
      <w:marBottom w:val="0"/>
      <w:divBdr>
        <w:top w:val="none" w:sz="0" w:space="0" w:color="auto"/>
        <w:left w:val="none" w:sz="0" w:space="0" w:color="auto"/>
        <w:bottom w:val="none" w:sz="0" w:space="0" w:color="auto"/>
        <w:right w:val="none" w:sz="0" w:space="0" w:color="auto"/>
      </w:divBdr>
      <w:divsChild>
        <w:div w:id="321660816">
          <w:marLeft w:val="0"/>
          <w:marRight w:val="0"/>
          <w:marTop w:val="0"/>
          <w:marBottom w:val="0"/>
          <w:divBdr>
            <w:top w:val="none" w:sz="0" w:space="0" w:color="auto"/>
            <w:left w:val="none" w:sz="0" w:space="0" w:color="auto"/>
            <w:bottom w:val="none" w:sz="0" w:space="0" w:color="auto"/>
            <w:right w:val="none" w:sz="0" w:space="0" w:color="auto"/>
          </w:divBdr>
          <w:divsChild>
            <w:div w:id="436800813">
              <w:marLeft w:val="0"/>
              <w:marRight w:val="0"/>
              <w:marTop w:val="0"/>
              <w:marBottom w:val="0"/>
              <w:divBdr>
                <w:top w:val="none" w:sz="0" w:space="0" w:color="auto"/>
                <w:left w:val="none" w:sz="0" w:space="0" w:color="auto"/>
                <w:bottom w:val="none" w:sz="0" w:space="0" w:color="auto"/>
                <w:right w:val="none" w:sz="0" w:space="0" w:color="auto"/>
              </w:divBdr>
              <w:divsChild>
                <w:div w:id="16418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4552CB8B.dotm</Template>
  <TotalTime>450</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Barbareev</dc:creator>
  <cp:lastModifiedBy>Kiril Barbareev</cp:lastModifiedBy>
  <cp:revision>44</cp:revision>
  <dcterms:created xsi:type="dcterms:W3CDTF">2012-03-22T19:10:00Z</dcterms:created>
  <dcterms:modified xsi:type="dcterms:W3CDTF">2012-03-30T18:25:00Z</dcterms:modified>
</cp:coreProperties>
</file>