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6D" w:rsidRDefault="00643D6D" w:rsidP="00643D6D">
      <w:pPr>
        <w:spacing w:after="0" w:line="240" w:lineRule="auto"/>
        <w:rPr>
          <w:rFonts w:ascii="Times New Roman" w:hAnsi="Times New Roman" w:cs="Times New Roman"/>
          <w:b/>
          <w:lang w:val="en-US"/>
        </w:rPr>
      </w:pPr>
    </w:p>
    <w:p w:rsidR="00643D6D" w:rsidRPr="00643D6D" w:rsidRDefault="00643D6D" w:rsidP="00643D6D">
      <w:pPr>
        <w:spacing w:after="0" w:line="240" w:lineRule="auto"/>
        <w:jc w:val="center"/>
        <w:rPr>
          <w:rFonts w:ascii="Times New Roman" w:hAnsi="Times New Roman" w:cs="Times New Roman"/>
          <w:b/>
          <w:lang w:val="en-US"/>
        </w:rPr>
      </w:pPr>
      <w:r>
        <w:rPr>
          <w:rFonts w:ascii="Times New Roman" w:hAnsi="Times New Roman" w:cs="Times New Roman"/>
          <w:b/>
          <w:lang w:val="en-US"/>
        </w:rPr>
        <w:t>EU FINANCIAL ASSISTANCE TO WESTERN BALKAN COUNTRIES WITH SPECIAL FOCUS ON ALBANIA</w:t>
      </w:r>
    </w:p>
    <w:p w:rsidR="00EB4D05" w:rsidRPr="00643D6D" w:rsidRDefault="00EB4D05" w:rsidP="000A34FE">
      <w:pPr>
        <w:jc w:val="center"/>
        <w:rPr>
          <w:rFonts w:ascii="Times New Roman" w:hAnsi="Times New Roman" w:cs="Times New Roman"/>
          <w:b/>
        </w:rPr>
      </w:pPr>
      <w:bookmarkStart w:id="0" w:name="_GoBack"/>
      <w:bookmarkEnd w:id="0"/>
    </w:p>
    <w:p w:rsidR="00643D6D" w:rsidRPr="00643D6D" w:rsidRDefault="00643D6D" w:rsidP="00643D6D">
      <w:pPr>
        <w:spacing w:line="240" w:lineRule="auto"/>
        <w:jc w:val="center"/>
        <w:rPr>
          <w:rFonts w:ascii="Times New Roman" w:hAnsi="Times New Roman" w:cs="Times New Roman"/>
          <w:b/>
          <w:lang w:val="en-US"/>
        </w:rPr>
      </w:pPr>
      <w:r w:rsidRPr="00643D6D">
        <w:rPr>
          <w:rFonts w:ascii="Times New Roman" w:hAnsi="Times New Roman" w:cs="Times New Roman"/>
          <w:b/>
          <w:lang w:val="en-US"/>
        </w:rPr>
        <w:t xml:space="preserve">M.Sc. Marina </w:t>
      </w:r>
      <w:proofErr w:type="spellStart"/>
      <w:r w:rsidRPr="00643D6D">
        <w:rPr>
          <w:rFonts w:ascii="Times New Roman" w:hAnsi="Times New Roman" w:cs="Times New Roman"/>
          <w:b/>
          <w:lang w:val="en-US"/>
        </w:rPr>
        <w:t>Radosavljevik</w:t>
      </w:r>
      <w:proofErr w:type="spellEnd"/>
      <w:r w:rsidRPr="00643D6D">
        <w:rPr>
          <w:rFonts w:ascii="Times New Roman" w:hAnsi="Times New Roman" w:cs="Times New Roman"/>
          <w:b/>
          <w:lang w:val="en-US"/>
        </w:rPr>
        <w:t xml:space="preserve"> </w:t>
      </w:r>
      <w:proofErr w:type="spellStart"/>
      <w:r w:rsidRPr="00643D6D">
        <w:rPr>
          <w:rFonts w:ascii="Times New Roman" w:hAnsi="Times New Roman" w:cs="Times New Roman"/>
          <w:b/>
          <w:lang w:val="en-US"/>
        </w:rPr>
        <w:t>Bojceva</w:t>
      </w:r>
      <w:proofErr w:type="spellEnd"/>
      <w:r w:rsidRPr="00643D6D">
        <w:rPr>
          <w:rFonts w:ascii="Times New Roman" w:hAnsi="Times New Roman" w:cs="Times New Roman"/>
          <w:b/>
          <w:lang w:val="en-US"/>
        </w:rPr>
        <w:t xml:space="preserve"> – Assistant </w:t>
      </w:r>
    </w:p>
    <w:p w:rsidR="00643D6D" w:rsidRPr="007643FE" w:rsidRDefault="00643D6D" w:rsidP="00643D6D">
      <w:pPr>
        <w:spacing w:line="240" w:lineRule="auto"/>
        <w:jc w:val="center"/>
        <w:rPr>
          <w:rFonts w:ascii="Times New Roman" w:hAnsi="Times New Roman" w:cs="Times New Roman"/>
          <w:b/>
        </w:rPr>
      </w:pPr>
      <w:r w:rsidRPr="00643D6D">
        <w:rPr>
          <w:rFonts w:ascii="Times New Roman" w:hAnsi="Times New Roman" w:cs="Times New Roman"/>
          <w:b/>
          <w:lang w:val="en-US"/>
        </w:rPr>
        <w:t xml:space="preserve">Faculty of Economics - University of </w:t>
      </w:r>
      <w:proofErr w:type="spellStart"/>
      <w:r w:rsidRPr="00643D6D">
        <w:rPr>
          <w:rFonts w:ascii="Times New Roman" w:hAnsi="Times New Roman" w:cs="Times New Roman"/>
          <w:b/>
          <w:lang w:val="en-US"/>
        </w:rPr>
        <w:t>Goce</w:t>
      </w:r>
      <w:proofErr w:type="spellEnd"/>
      <w:r w:rsidRPr="00643D6D">
        <w:rPr>
          <w:rFonts w:ascii="Times New Roman" w:hAnsi="Times New Roman" w:cs="Times New Roman"/>
          <w:b/>
          <w:lang w:val="en-US"/>
        </w:rPr>
        <w:t xml:space="preserve"> </w:t>
      </w:r>
      <w:proofErr w:type="spellStart"/>
      <w:r w:rsidRPr="00643D6D">
        <w:rPr>
          <w:rFonts w:ascii="Times New Roman" w:hAnsi="Times New Roman" w:cs="Times New Roman"/>
          <w:b/>
          <w:lang w:val="en-US"/>
        </w:rPr>
        <w:t>Delcev</w:t>
      </w:r>
      <w:proofErr w:type="spellEnd"/>
      <w:r w:rsidRPr="00643D6D">
        <w:rPr>
          <w:rFonts w:ascii="Times New Roman" w:hAnsi="Times New Roman" w:cs="Times New Roman"/>
          <w:b/>
          <w:lang w:val="en-US"/>
        </w:rPr>
        <w:t xml:space="preserve">, </w:t>
      </w:r>
      <w:proofErr w:type="spellStart"/>
      <w:r w:rsidRPr="00643D6D">
        <w:rPr>
          <w:rFonts w:ascii="Times New Roman" w:hAnsi="Times New Roman" w:cs="Times New Roman"/>
          <w:b/>
          <w:lang w:val="en-US"/>
        </w:rPr>
        <w:t>Stip</w:t>
      </w:r>
      <w:proofErr w:type="spellEnd"/>
      <w:r w:rsidRPr="00643D6D">
        <w:rPr>
          <w:rFonts w:ascii="Times New Roman" w:hAnsi="Times New Roman" w:cs="Times New Roman"/>
          <w:b/>
          <w:lang w:val="en-US"/>
        </w:rPr>
        <w:t>, Macedonia</w:t>
      </w:r>
    </w:p>
    <w:p w:rsidR="00643D6D" w:rsidRPr="00643D6D" w:rsidRDefault="00643D6D" w:rsidP="00643D6D">
      <w:pPr>
        <w:spacing w:line="240" w:lineRule="auto"/>
        <w:jc w:val="center"/>
        <w:rPr>
          <w:rFonts w:ascii="Times New Roman" w:hAnsi="Times New Roman" w:cs="Times New Roman"/>
          <w:b/>
          <w:lang w:val="en-US"/>
        </w:rPr>
      </w:pPr>
      <w:r w:rsidRPr="00643D6D">
        <w:rPr>
          <w:rFonts w:ascii="Times New Roman" w:hAnsi="Times New Roman" w:cs="Times New Roman"/>
          <w:b/>
          <w:lang w:val="en-US"/>
        </w:rPr>
        <w:t xml:space="preserve">M.Sc. Kostadinka Cabuleva – Assistant </w:t>
      </w:r>
    </w:p>
    <w:p w:rsidR="00643D6D" w:rsidRPr="00643D6D" w:rsidRDefault="00643D6D" w:rsidP="00643D6D">
      <w:pPr>
        <w:spacing w:line="240" w:lineRule="auto"/>
        <w:jc w:val="center"/>
        <w:rPr>
          <w:rFonts w:ascii="Times New Roman" w:hAnsi="Times New Roman" w:cs="Times New Roman"/>
          <w:b/>
          <w:lang w:val="en-US"/>
        </w:rPr>
      </w:pPr>
      <w:r w:rsidRPr="00643D6D">
        <w:rPr>
          <w:rFonts w:ascii="Times New Roman" w:hAnsi="Times New Roman" w:cs="Times New Roman"/>
          <w:b/>
          <w:lang w:val="en-US"/>
        </w:rPr>
        <w:t xml:space="preserve">Faculty of Economics - University of </w:t>
      </w:r>
      <w:proofErr w:type="spellStart"/>
      <w:r w:rsidRPr="00643D6D">
        <w:rPr>
          <w:rFonts w:ascii="Times New Roman" w:hAnsi="Times New Roman" w:cs="Times New Roman"/>
          <w:b/>
          <w:lang w:val="en-US"/>
        </w:rPr>
        <w:t>Goce</w:t>
      </w:r>
      <w:proofErr w:type="spellEnd"/>
      <w:r w:rsidRPr="00643D6D">
        <w:rPr>
          <w:rFonts w:ascii="Times New Roman" w:hAnsi="Times New Roman" w:cs="Times New Roman"/>
          <w:b/>
          <w:lang w:val="en-US"/>
        </w:rPr>
        <w:t xml:space="preserve"> </w:t>
      </w:r>
      <w:proofErr w:type="spellStart"/>
      <w:r w:rsidRPr="00643D6D">
        <w:rPr>
          <w:rFonts w:ascii="Times New Roman" w:hAnsi="Times New Roman" w:cs="Times New Roman"/>
          <w:b/>
          <w:lang w:val="en-US"/>
        </w:rPr>
        <w:t>Delcev</w:t>
      </w:r>
      <w:proofErr w:type="spellEnd"/>
      <w:r w:rsidRPr="00643D6D">
        <w:rPr>
          <w:rFonts w:ascii="Times New Roman" w:hAnsi="Times New Roman" w:cs="Times New Roman"/>
          <w:b/>
          <w:lang w:val="en-US"/>
        </w:rPr>
        <w:t xml:space="preserve">, </w:t>
      </w:r>
      <w:proofErr w:type="spellStart"/>
      <w:r w:rsidRPr="00643D6D">
        <w:rPr>
          <w:rFonts w:ascii="Times New Roman" w:hAnsi="Times New Roman" w:cs="Times New Roman"/>
          <w:b/>
          <w:lang w:val="en-US"/>
        </w:rPr>
        <w:t>Stip</w:t>
      </w:r>
      <w:proofErr w:type="spellEnd"/>
      <w:r w:rsidRPr="00643D6D">
        <w:rPr>
          <w:rFonts w:ascii="Times New Roman" w:hAnsi="Times New Roman" w:cs="Times New Roman"/>
          <w:b/>
          <w:lang w:val="en-US"/>
        </w:rPr>
        <w:t>, Macedonia</w:t>
      </w:r>
    </w:p>
    <w:p w:rsidR="00643D6D" w:rsidRPr="00643D6D" w:rsidRDefault="00643D6D" w:rsidP="00643D6D">
      <w:pPr>
        <w:spacing w:line="240" w:lineRule="auto"/>
        <w:jc w:val="center"/>
        <w:rPr>
          <w:rFonts w:ascii="Times New Roman" w:hAnsi="Times New Roman" w:cs="Times New Roman"/>
          <w:b/>
          <w:lang w:val="en-US"/>
        </w:rPr>
      </w:pPr>
      <w:r w:rsidRPr="00643D6D">
        <w:rPr>
          <w:rFonts w:ascii="Times New Roman" w:hAnsi="Times New Roman" w:cs="Times New Roman"/>
          <w:b/>
          <w:lang w:val="en-US"/>
        </w:rPr>
        <w:t>M.Sc. Zoran Temelkov - Assistant</w:t>
      </w:r>
    </w:p>
    <w:p w:rsidR="00643D6D" w:rsidRPr="00643D6D" w:rsidRDefault="00643D6D" w:rsidP="00643D6D">
      <w:pPr>
        <w:spacing w:line="240" w:lineRule="auto"/>
        <w:jc w:val="center"/>
        <w:rPr>
          <w:rFonts w:ascii="Times New Roman" w:hAnsi="Times New Roman" w:cs="Times New Roman"/>
          <w:b/>
          <w:lang w:val="en-US"/>
        </w:rPr>
      </w:pPr>
      <w:r w:rsidRPr="00643D6D">
        <w:rPr>
          <w:rFonts w:ascii="Times New Roman" w:hAnsi="Times New Roman" w:cs="Times New Roman"/>
          <w:b/>
          <w:lang w:val="en-US"/>
        </w:rPr>
        <w:t xml:space="preserve">Faculty of Economics - University of </w:t>
      </w:r>
      <w:proofErr w:type="spellStart"/>
      <w:r w:rsidRPr="00643D6D">
        <w:rPr>
          <w:rFonts w:ascii="Times New Roman" w:hAnsi="Times New Roman" w:cs="Times New Roman"/>
          <w:b/>
          <w:lang w:val="en-US"/>
        </w:rPr>
        <w:t>Goce</w:t>
      </w:r>
      <w:proofErr w:type="spellEnd"/>
      <w:r w:rsidRPr="00643D6D">
        <w:rPr>
          <w:rFonts w:ascii="Times New Roman" w:hAnsi="Times New Roman" w:cs="Times New Roman"/>
          <w:b/>
          <w:lang w:val="en-US"/>
        </w:rPr>
        <w:t xml:space="preserve"> </w:t>
      </w:r>
      <w:proofErr w:type="spellStart"/>
      <w:r w:rsidRPr="00643D6D">
        <w:rPr>
          <w:rFonts w:ascii="Times New Roman" w:hAnsi="Times New Roman" w:cs="Times New Roman"/>
          <w:b/>
          <w:lang w:val="en-US"/>
        </w:rPr>
        <w:t>Delcev</w:t>
      </w:r>
      <w:proofErr w:type="spellEnd"/>
      <w:r w:rsidRPr="00643D6D">
        <w:rPr>
          <w:rFonts w:ascii="Times New Roman" w:hAnsi="Times New Roman" w:cs="Times New Roman"/>
          <w:b/>
          <w:lang w:val="en-US"/>
        </w:rPr>
        <w:t xml:space="preserve">, </w:t>
      </w:r>
      <w:proofErr w:type="spellStart"/>
      <w:r w:rsidRPr="00643D6D">
        <w:rPr>
          <w:rFonts w:ascii="Times New Roman" w:hAnsi="Times New Roman" w:cs="Times New Roman"/>
          <w:b/>
          <w:lang w:val="en-US"/>
        </w:rPr>
        <w:t>Stip</w:t>
      </w:r>
      <w:proofErr w:type="spellEnd"/>
      <w:r w:rsidRPr="00643D6D">
        <w:rPr>
          <w:rFonts w:ascii="Times New Roman" w:hAnsi="Times New Roman" w:cs="Times New Roman"/>
          <w:b/>
          <w:lang w:val="en-US"/>
        </w:rPr>
        <w:t>, Macedonia</w:t>
      </w:r>
    </w:p>
    <w:p w:rsidR="00643D6D" w:rsidRPr="00643D6D" w:rsidRDefault="00643D6D" w:rsidP="00643D6D">
      <w:pPr>
        <w:jc w:val="center"/>
        <w:rPr>
          <w:rFonts w:ascii="Times New Roman" w:hAnsi="Times New Roman" w:cs="Times New Roman"/>
          <w:b/>
        </w:rPr>
      </w:pPr>
    </w:p>
    <w:p w:rsidR="00EB4D05" w:rsidRPr="00643D6D" w:rsidRDefault="000A34FE" w:rsidP="00643D6D">
      <w:pPr>
        <w:spacing w:line="240" w:lineRule="auto"/>
        <w:jc w:val="center"/>
        <w:rPr>
          <w:rFonts w:ascii="Times New Roman" w:hAnsi="Times New Roman" w:cs="Times New Roman"/>
          <w:b/>
          <w:lang w:val="en-US"/>
        </w:rPr>
      </w:pPr>
      <w:r w:rsidRPr="00643D6D">
        <w:rPr>
          <w:rFonts w:ascii="Times New Roman" w:hAnsi="Times New Roman" w:cs="Times New Roman"/>
          <w:b/>
          <w:lang w:val="en-US"/>
        </w:rPr>
        <w:t>Abstract</w:t>
      </w:r>
    </w:p>
    <w:p w:rsidR="000A34FE" w:rsidRPr="00643D6D" w:rsidRDefault="000A34FE" w:rsidP="00DE4BC7">
      <w:pPr>
        <w:spacing w:line="240" w:lineRule="auto"/>
        <w:ind w:firstLine="720"/>
        <w:jc w:val="both"/>
        <w:rPr>
          <w:rFonts w:ascii="Times New Roman" w:hAnsi="Times New Roman" w:cs="Times New Roman"/>
          <w:lang w:val="en-US"/>
        </w:rPr>
      </w:pPr>
      <w:r w:rsidRPr="00643D6D">
        <w:rPr>
          <w:rFonts w:ascii="Times New Roman" w:hAnsi="Times New Roman" w:cs="Times New Roman"/>
          <w:lang w:val="en-US"/>
        </w:rPr>
        <w:t>The overall objective of EU financial assistance is to help prepare the Western Balkan countries</w:t>
      </w:r>
      <w:r w:rsidR="00006F33" w:rsidRPr="00643D6D">
        <w:rPr>
          <w:rFonts w:ascii="Times New Roman" w:hAnsi="Times New Roman" w:cs="Times New Roman"/>
          <w:lang w:val="en-US"/>
        </w:rPr>
        <w:t xml:space="preserve"> to meet the challenges of future EU membership.</w:t>
      </w:r>
    </w:p>
    <w:p w:rsidR="00006F33" w:rsidRPr="00643D6D" w:rsidRDefault="00C13CFF" w:rsidP="00DE4BC7">
      <w:pPr>
        <w:spacing w:line="240" w:lineRule="auto"/>
        <w:ind w:firstLine="720"/>
        <w:jc w:val="both"/>
        <w:rPr>
          <w:rFonts w:ascii="Times New Roman" w:hAnsi="Times New Roman" w:cs="Times New Roman"/>
          <w:lang w:val="en-US"/>
        </w:rPr>
      </w:pPr>
      <w:r w:rsidRPr="00643D6D">
        <w:rPr>
          <w:rFonts w:ascii="Times New Roman" w:hAnsi="Times New Roman" w:cs="Times New Roman"/>
          <w:lang w:val="en-US"/>
        </w:rPr>
        <w:t>From</w:t>
      </w:r>
      <w:r w:rsidR="00006F33" w:rsidRPr="00643D6D">
        <w:rPr>
          <w:rFonts w:ascii="Times New Roman" w:hAnsi="Times New Roman" w:cs="Times New Roman"/>
          <w:lang w:val="en-US"/>
        </w:rPr>
        <w:t xml:space="preserve"> 2000 to 2007, SAPARD, ISPA</w:t>
      </w:r>
      <w:r w:rsidR="00ED2E2D" w:rsidRPr="00643D6D">
        <w:rPr>
          <w:rFonts w:ascii="Times New Roman" w:hAnsi="Times New Roman" w:cs="Times New Roman"/>
          <w:lang w:val="en-US"/>
        </w:rPr>
        <w:t>,</w:t>
      </w:r>
      <w:r w:rsidR="00006F33" w:rsidRPr="00643D6D">
        <w:rPr>
          <w:rFonts w:ascii="Times New Roman" w:hAnsi="Times New Roman" w:cs="Times New Roman"/>
          <w:lang w:val="en-US"/>
        </w:rPr>
        <w:t xml:space="preserve"> PHARE</w:t>
      </w:r>
      <w:r w:rsidR="00ED2E2D" w:rsidRPr="00643D6D">
        <w:rPr>
          <w:rFonts w:ascii="Times New Roman" w:hAnsi="Times New Roman" w:cs="Times New Roman"/>
          <w:lang w:val="en-US"/>
        </w:rPr>
        <w:t xml:space="preserve"> and CARDS were financial instruments which help candid</w:t>
      </w:r>
      <w:r w:rsidR="00156FF0" w:rsidRPr="00643D6D">
        <w:rPr>
          <w:rFonts w:ascii="Times New Roman" w:hAnsi="Times New Roman" w:cs="Times New Roman"/>
          <w:lang w:val="en-US"/>
        </w:rPr>
        <w:t>ate and potential candidate coun</w:t>
      </w:r>
      <w:r w:rsidR="00ED2E2D" w:rsidRPr="00643D6D">
        <w:rPr>
          <w:rFonts w:ascii="Times New Roman" w:hAnsi="Times New Roman" w:cs="Times New Roman"/>
          <w:lang w:val="en-US"/>
        </w:rPr>
        <w:t>tries to car</w:t>
      </w:r>
      <w:r w:rsidRPr="00643D6D">
        <w:rPr>
          <w:rFonts w:ascii="Times New Roman" w:hAnsi="Times New Roman" w:cs="Times New Roman"/>
          <w:lang w:val="en-US"/>
        </w:rPr>
        <w:t>r</w:t>
      </w:r>
      <w:r w:rsidR="00ED2E2D" w:rsidRPr="00643D6D">
        <w:rPr>
          <w:rFonts w:ascii="Times New Roman" w:hAnsi="Times New Roman" w:cs="Times New Roman"/>
          <w:lang w:val="en-US"/>
        </w:rPr>
        <w:t>y out reforms, important for accession preparations, as pe</w:t>
      </w:r>
      <w:r w:rsidR="00156FF0" w:rsidRPr="00643D6D">
        <w:rPr>
          <w:rFonts w:ascii="Times New Roman" w:hAnsi="Times New Roman" w:cs="Times New Roman"/>
          <w:lang w:val="en-US"/>
        </w:rPr>
        <w:t>r the membership criteria, but a</w:t>
      </w:r>
      <w:r w:rsidR="00ED2E2D" w:rsidRPr="00643D6D">
        <w:rPr>
          <w:rFonts w:ascii="Times New Roman" w:hAnsi="Times New Roman" w:cs="Times New Roman"/>
          <w:lang w:val="en-US"/>
        </w:rPr>
        <w:t>lso for the economic and social modernization of the count</w:t>
      </w:r>
      <w:r w:rsidR="00156FF0" w:rsidRPr="00643D6D">
        <w:rPr>
          <w:rFonts w:ascii="Times New Roman" w:hAnsi="Times New Roman" w:cs="Times New Roman"/>
          <w:lang w:val="en-US"/>
        </w:rPr>
        <w:t>r</w:t>
      </w:r>
      <w:r w:rsidR="00ED2E2D" w:rsidRPr="00643D6D">
        <w:rPr>
          <w:rFonts w:ascii="Times New Roman" w:hAnsi="Times New Roman" w:cs="Times New Roman"/>
          <w:lang w:val="en-US"/>
        </w:rPr>
        <w:t>ies.</w:t>
      </w:r>
    </w:p>
    <w:p w:rsidR="00ED2E2D" w:rsidRPr="00643D6D" w:rsidRDefault="00ED2E2D" w:rsidP="00DE4BC7">
      <w:pPr>
        <w:spacing w:line="240" w:lineRule="auto"/>
        <w:ind w:firstLine="720"/>
        <w:jc w:val="both"/>
        <w:rPr>
          <w:rFonts w:ascii="Times New Roman" w:hAnsi="Times New Roman" w:cs="Times New Roman"/>
          <w:lang w:val="en-US"/>
        </w:rPr>
      </w:pPr>
      <w:r w:rsidRPr="00643D6D">
        <w:rPr>
          <w:rFonts w:ascii="Times New Roman" w:hAnsi="Times New Roman" w:cs="Times New Roman"/>
          <w:lang w:val="en-US"/>
        </w:rPr>
        <w:t>In 2007, with a view to streamline all pre-accession in a single framework</w:t>
      </w:r>
      <w:r w:rsidR="00156FF0" w:rsidRPr="00643D6D">
        <w:rPr>
          <w:rFonts w:ascii="Times New Roman" w:hAnsi="Times New Roman" w:cs="Times New Roman"/>
          <w:lang w:val="en-US"/>
        </w:rPr>
        <w:t xml:space="preserve"> </w:t>
      </w:r>
      <w:r w:rsidRPr="00643D6D">
        <w:rPr>
          <w:rFonts w:ascii="Times New Roman" w:hAnsi="Times New Roman" w:cs="Times New Roman"/>
          <w:lang w:val="en-US"/>
        </w:rPr>
        <w:t>and under the</w:t>
      </w:r>
      <w:r w:rsidR="00156FF0" w:rsidRPr="00643D6D">
        <w:rPr>
          <w:rFonts w:ascii="Times New Roman" w:hAnsi="Times New Roman" w:cs="Times New Roman"/>
          <w:lang w:val="en-US"/>
        </w:rPr>
        <w:t xml:space="preserve"> same</w:t>
      </w:r>
      <w:r w:rsidRPr="00643D6D">
        <w:rPr>
          <w:rFonts w:ascii="Times New Roman" w:hAnsi="Times New Roman" w:cs="Times New Roman"/>
          <w:lang w:val="en-US"/>
        </w:rPr>
        <w:t xml:space="preserve"> regulation, the new Instrument for Pre-accession Assistance</w:t>
      </w:r>
      <w:r w:rsidR="00C13CFF" w:rsidRPr="00643D6D">
        <w:rPr>
          <w:rFonts w:ascii="Times New Roman" w:hAnsi="Times New Roman" w:cs="Times New Roman"/>
          <w:lang w:val="en-US"/>
        </w:rPr>
        <w:t xml:space="preserve"> (IPA) replac</w:t>
      </w:r>
      <w:r w:rsidR="008A50FA" w:rsidRPr="00643D6D">
        <w:rPr>
          <w:rFonts w:ascii="Times New Roman" w:hAnsi="Times New Roman" w:cs="Times New Roman"/>
          <w:lang w:val="en-US"/>
        </w:rPr>
        <w:t xml:space="preserve">ed the previous pre-accession </w:t>
      </w:r>
      <w:proofErr w:type="spellStart"/>
      <w:r w:rsidR="008A50FA" w:rsidRPr="00643D6D">
        <w:rPr>
          <w:rFonts w:ascii="Times New Roman" w:hAnsi="Times New Roman" w:cs="Times New Roman"/>
          <w:lang w:val="en-US"/>
        </w:rPr>
        <w:t>programmes</w:t>
      </w:r>
      <w:proofErr w:type="spellEnd"/>
      <w:r w:rsidR="008A50FA" w:rsidRPr="00643D6D">
        <w:rPr>
          <w:rFonts w:ascii="Times New Roman" w:hAnsi="Times New Roman" w:cs="Times New Roman"/>
          <w:lang w:val="en-US"/>
        </w:rPr>
        <w:t>.</w:t>
      </w:r>
    </w:p>
    <w:p w:rsidR="008A50FA" w:rsidRPr="00643D6D" w:rsidRDefault="008A50FA" w:rsidP="00DE4BC7">
      <w:pPr>
        <w:spacing w:line="240" w:lineRule="auto"/>
        <w:ind w:firstLine="720"/>
        <w:jc w:val="both"/>
        <w:rPr>
          <w:rFonts w:ascii="Times New Roman" w:hAnsi="Times New Roman" w:cs="Times New Roman"/>
          <w:lang w:val="en-US"/>
        </w:rPr>
      </w:pPr>
      <w:r w:rsidRPr="00643D6D">
        <w:rPr>
          <w:rFonts w:ascii="Times New Roman" w:hAnsi="Times New Roman" w:cs="Times New Roman"/>
          <w:lang w:val="en-US"/>
        </w:rPr>
        <w:t>The main objective of the IPA is to help the c</w:t>
      </w:r>
      <w:r w:rsidR="00C13CFF" w:rsidRPr="00643D6D">
        <w:rPr>
          <w:rFonts w:ascii="Times New Roman" w:hAnsi="Times New Roman" w:cs="Times New Roman"/>
          <w:lang w:val="en-US"/>
        </w:rPr>
        <w:t>ountries to face the challenge</w:t>
      </w:r>
      <w:r w:rsidRPr="00643D6D">
        <w:rPr>
          <w:rFonts w:ascii="Times New Roman" w:hAnsi="Times New Roman" w:cs="Times New Roman"/>
          <w:lang w:val="en-US"/>
        </w:rPr>
        <w:t xml:space="preserve"> of European integration, to implement the reforms needed to meet EU requirements </w:t>
      </w:r>
      <w:r w:rsidR="00156FF0" w:rsidRPr="00643D6D">
        <w:rPr>
          <w:rFonts w:ascii="Times New Roman" w:hAnsi="Times New Roman" w:cs="Times New Roman"/>
          <w:lang w:val="en-US"/>
        </w:rPr>
        <w:t xml:space="preserve">and progress in the </w:t>
      </w:r>
      <w:r w:rsidR="00DE4BC7" w:rsidRPr="00643D6D">
        <w:rPr>
          <w:rFonts w:ascii="Times New Roman" w:hAnsi="Times New Roman" w:cs="Times New Roman"/>
          <w:lang w:val="en-US"/>
        </w:rPr>
        <w:t>Stabilization</w:t>
      </w:r>
      <w:r w:rsidR="00156FF0" w:rsidRPr="00643D6D">
        <w:rPr>
          <w:rFonts w:ascii="Times New Roman" w:hAnsi="Times New Roman" w:cs="Times New Roman"/>
          <w:lang w:val="en-US"/>
        </w:rPr>
        <w:t xml:space="preserve"> and Association Process and to lay the foundations</w:t>
      </w:r>
      <w:r w:rsidR="0016366A" w:rsidRPr="00643D6D">
        <w:rPr>
          <w:rFonts w:ascii="Times New Roman" w:hAnsi="Times New Roman" w:cs="Times New Roman"/>
          <w:lang w:val="en-US"/>
        </w:rPr>
        <w:t xml:space="preserve"> </w:t>
      </w:r>
      <w:r w:rsidRPr="00643D6D">
        <w:rPr>
          <w:rFonts w:ascii="Times New Roman" w:hAnsi="Times New Roman" w:cs="Times New Roman"/>
          <w:lang w:val="en-US"/>
        </w:rPr>
        <w:t>for fulfilling Copenhagen criteria for the EU membership.</w:t>
      </w:r>
    </w:p>
    <w:p w:rsidR="008A50FA" w:rsidRPr="00643D6D" w:rsidRDefault="00BD15B7" w:rsidP="00DE4BC7">
      <w:pPr>
        <w:spacing w:line="240" w:lineRule="auto"/>
        <w:ind w:firstLine="720"/>
        <w:jc w:val="both"/>
        <w:rPr>
          <w:rFonts w:ascii="Times New Roman" w:hAnsi="Times New Roman" w:cs="Times New Roman"/>
          <w:lang w:val="en-US"/>
        </w:rPr>
      </w:pPr>
      <w:r w:rsidRPr="00643D6D">
        <w:rPr>
          <w:rFonts w:ascii="Times New Roman" w:hAnsi="Times New Roman" w:cs="Times New Roman"/>
          <w:lang w:val="en-US"/>
        </w:rPr>
        <w:t>The European Union, in the last few decades, has been particular</w:t>
      </w:r>
      <w:r w:rsidR="00C13CFF" w:rsidRPr="00643D6D">
        <w:rPr>
          <w:rFonts w:ascii="Times New Roman" w:hAnsi="Times New Roman" w:cs="Times New Roman"/>
          <w:lang w:val="en-US"/>
        </w:rPr>
        <w:t>l</w:t>
      </w:r>
      <w:r w:rsidRPr="00643D6D">
        <w:rPr>
          <w:rFonts w:ascii="Times New Roman" w:hAnsi="Times New Roman" w:cs="Times New Roman"/>
          <w:lang w:val="en-US"/>
        </w:rPr>
        <w:t>y interested in providing support to countries</w:t>
      </w:r>
      <w:r w:rsidR="00F7599F" w:rsidRPr="00643D6D">
        <w:rPr>
          <w:rFonts w:ascii="Times New Roman" w:hAnsi="Times New Roman" w:cs="Times New Roman"/>
          <w:lang w:val="en-US"/>
        </w:rPr>
        <w:t xml:space="preserve"> which are potential candidates such as Albania.</w:t>
      </w:r>
    </w:p>
    <w:p w:rsidR="00F7599F" w:rsidRPr="00643D6D" w:rsidRDefault="00F7599F" w:rsidP="00DE4BC7">
      <w:pPr>
        <w:spacing w:line="240" w:lineRule="auto"/>
        <w:ind w:firstLine="720"/>
        <w:jc w:val="both"/>
        <w:rPr>
          <w:rFonts w:ascii="Times New Roman" w:hAnsi="Times New Roman" w:cs="Times New Roman"/>
          <w:lang w:val="en-US"/>
        </w:rPr>
      </w:pPr>
      <w:r w:rsidRPr="00643D6D">
        <w:rPr>
          <w:rFonts w:ascii="Times New Roman" w:hAnsi="Times New Roman" w:cs="Times New Roman"/>
          <w:lang w:val="en-US"/>
        </w:rPr>
        <w:t xml:space="preserve">In the past, until 2007, the EU supported Albania through various instruments like: ECHO-Humanitarian Aid </w:t>
      </w:r>
      <w:proofErr w:type="spellStart"/>
      <w:r w:rsidRPr="00643D6D">
        <w:rPr>
          <w:rFonts w:ascii="Times New Roman" w:hAnsi="Times New Roman" w:cs="Times New Roman"/>
          <w:lang w:val="en-US"/>
        </w:rPr>
        <w:t>programme</w:t>
      </w:r>
      <w:proofErr w:type="spellEnd"/>
      <w:r w:rsidRPr="00643D6D">
        <w:rPr>
          <w:rFonts w:ascii="Times New Roman" w:hAnsi="Times New Roman" w:cs="Times New Roman"/>
          <w:lang w:val="en-US"/>
        </w:rPr>
        <w:t>, PHARE and CARDS.</w:t>
      </w:r>
    </w:p>
    <w:p w:rsidR="00F7599F" w:rsidRPr="00643D6D" w:rsidRDefault="00F7599F" w:rsidP="00DE4BC7">
      <w:pPr>
        <w:spacing w:line="240" w:lineRule="auto"/>
        <w:ind w:firstLine="720"/>
        <w:jc w:val="both"/>
        <w:rPr>
          <w:rFonts w:ascii="Times New Roman" w:hAnsi="Times New Roman" w:cs="Times New Roman"/>
          <w:lang w:val="en-US"/>
        </w:rPr>
      </w:pPr>
      <w:r w:rsidRPr="00643D6D">
        <w:rPr>
          <w:rFonts w:ascii="Times New Roman" w:hAnsi="Times New Roman" w:cs="Times New Roman"/>
          <w:lang w:val="en-US"/>
        </w:rPr>
        <w:t>The IPA 2007-2013 is aimed at supporting the accession process of Albania focusing on political, institutional and economic transition.</w:t>
      </w:r>
    </w:p>
    <w:p w:rsidR="00F7599F" w:rsidRPr="00643D6D" w:rsidRDefault="00C13CFF" w:rsidP="00DE4BC7">
      <w:pPr>
        <w:spacing w:line="240" w:lineRule="auto"/>
        <w:ind w:firstLine="720"/>
        <w:jc w:val="both"/>
        <w:rPr>
          <w:rFonts w:ascii="Times New Roman" w:hAnsi="Times New Roman" w:cs="Times New Roman"/>
          <w:lang w:val="en-US"/>
        </w:rPr>
      </w:pPr>
      <w:r w:rsidRPr="00643D6D">
        <w:rPr>
          <w:rFonts w:ascii="Times New Roman" w:hAnsi="Times New Roman" w:cs="Times New Roman"/>
          <w:lang w:val="en-US"/>
        </w:rPr>
        <w:t>EU</w:t>
      </w:r>
      <w:r w:rsidR="00F7599F" w:rsidRPr="00643D6D">
        <w:rPr>
          <w:rFonts w:ascii="Times New Roman" w:hAnsi="Times New Roman" w:cs="Times New Roman"/>
          <w:lang w:val="en-US"/>
        </w:rPr>
        <w:t xml:space="preserve"> assistance has been delivered within four priority areas: </w:t>
      </w:r>
      <w:r w:rsidR="00812644" w:rsidRPr="00643D6D">
        <w:rPr>
          <w:rFonts w:ascii="Times New Roman" w:hAnsi="Times New Roman" w:cs="Times New Roman"/>
          <w:lang w:val="en-US"/>
        </w:rPr>
        <w:t>p</w:t>
      </w:r>
      <w:r w:rsidR="00FD22C7" w:rsidRPr="00643D6D">
        <w:rPr>
          <w:rFonts w:ascii="Times New Roman" w:hAnsi="Times New Roman" w:cs="Times New Roman"/>
          <w:lang w:val="en-US"/>
        </w:rPr>
        <w:t xml:space="preserve">ublic administration; </w:t>
      </w:r>
      <w:r w:rsidR="00812644" w:rsidRPr="00643D6D">
        <w:rPr>
          <w:rFonts w:ascii="Times New Roman" w:hAnsi="Times New Roman" w:cs="Times New Roman"/>
          <w:lang w:val="en-US"/>
        </w:rPr>
        <w:t>j</w:t>
      </w:r>
      <w:r w:rsidR="00F7599F" w:rsidRPr="00643D6D">
        <w:rPr>
          <w:rFonts w:ascii="Times New Roman" w:hAnsi="Times New Roman" w:cs="Times New Roman"/>
          <w:lang w:val="en-US"/>
        </w:rPr>
        <w:t>ustice and home affa</w:t>
      </w:r>
      <w:r w:rsidR="00812644" w:rsidRPr="00643D6D">
        <w:rPr>
          <w:rFonts w:ascii="Times New Roman" w:hAnsi="Times New Roman" w:cs="Times New Roman"/>
          <w:lang w:val="en-US"/>
        </w:rPr>
        <w:t>irs; economic development; and e</w:t>
      </w:r>
      <w:r w:rsidR="00F7599F" w:rsidRPr="00643D6D">
        <w:rPr>
          <w:rFonts w:ascii="Times New Roman" w:hAnsi="Times New Roman" w:cs="Times New Roman"/>
          <w:lang w:val="en-US"/>
        </w:rPr>
        <w:t>nvironment and infrastructure.</w:t>
      </w:r>
    </w:p>
    <w:p w:rsidR="002A445E" w:rsidRDefault="002A445E" w:rsidP="00806208">
      <w:pPr>
        <w:spacing w:line="240" w:lineRule="auto"/>
        <w:ind w:firstLine="720"/>
        <w:jc w:val="both"/>
        <w:rPr>
          <w:rFonts w:ascii="Times New Roman" w:hAnsi="Times New Roman" w:cs="Times New Roman"/>
          <w:b/>
          <w:lang w:val="en-US"/>
        </w:rPr>
      </w:pPr>
    </w:p>
    <w:p w:rsidR="00686C3D" w:rsidRDefault="00686C3D" w:rsidP="00806208">
      <w:pPr>
        <w:spacing w:line="240" w:lineRule="auto"/>
        <w:ind w:firstLine="720"/>
        <w:jc w:val="both"/>
        <w:rPr>
          <w:rFonts w:ascii="Times New Roman" w:hAnsi="Times New Roman" w:cs="Times New Roman"/>
          <w:lang w:val="en-US"/>
        </w:rPr>
      </w:pPr>
      <w:r w:rsidRPr="008F52AC">
        <w:rPr>
          <w:rFonts w:ascii="Times New Roman" w:hAnsi="Times New Roman" w:cs="Times New Roman"/>
          <w:b/>
          <w:lang w:val="en-US"/>
        </w:rPr>
        <w:t>Key words:</w:t>
      </w:r>
      <w:r w:rsidR="00806208" w:rsidRPr="00643D6D">
        <w:rPr>
          <w:rFonts w:ascii="Times New Roman" w:hAnsi="Times New Roman" w:cs="Times New Roman"/>
          <w:lang w:val="en-US"/>
        </w:rPr>
        <w:t xml:space="preserve"> potential candidate, </w:t>
      </w:r>
      <w:r w:rsidRPr="00643D6D">
        <w:rPr>
          <w:rFonts w:ascii="Times New Roman" w:hAnsi="Times New Roman" w:cs="Times New Roman"/>
          <w:lang w:val="en-US"/>
        </w:rPr>
        <w:t>assistance</w:t>
      </w:r>
      <w:r w:rsidR="00806208" w:rsidRPr="00643D6D">
        <w:rPr>
          <w:rFonts w:ascii="Times New Roman" w:hAnsi="Times New Roman" w:cs="Times New Roman"/>
          <w:lang w:val="en-US"/>
        </w:rPr>
        <w:t xml:space="preserve">, </w:t>
      </w:r>
      <w:r w:rsidRPr="00643D6D">
        <w:rPr>
          <w:rFonts w:ascii="Times New Roman" w:hAnsi="Times New Roman" w:cs="Times New Roman"/>
          <w:lang w:val="en-US"/>
        </w:rPr>
        <w:t>financial instrument</w:t>
      </w:r>
      <w:r w:rsidR="00806208" w:rsidRPr="00643D6D">
        <w:rPr>
          <w:rFonts w:ascii="Times New Roman" w:hAnsi="Times New Roman" w:cs="Times New Roman"/>
          <w:lang w:val="en-US"/>
        </w:rPr>
        <w:t xml:space="preserve">, </w:t>
      </w:r>
      <w:r w:rsidRPr="00643D6D">
        <w:rPr>
          <w:rFonts w:ascii="Times New Roman" w:hAnsi="Times New Roman" w:cs="Times New Roman"/>
          <w:lang w:val="en-US"/>
        </w:rPr>
        <w:t>accession preparations</w:t>
      </w:r>
      <w:r w:rsidR="00806208" w:rsidRPr="00643D6D">
        <w:rPr>
          <w:rFonts w:ascii="Times New Roman" w:hAnsi="Times New Roman" w:cs="Times New Roman"/>
          <w:lang w:val="en-US"/>
        </w:rPr>
        <w:t xml:space="preserve">, </w:t>
      </w:r>
      <w:r w:rsidRPr="00643D6D">
        <w:rPr>
          <w:rFonts w:ascii="Times New Roman" w:hAnsi="Times New Roman" w:cs="Times New Roman"/>
          <w:lang w:val="en-US"/>
        </w:rPr>
        <w:t>membership criteria</w:t>
      </w:r>
      <w:r w:rsidR="00806208" w:rsidRPr="00643D6D">
        <w:rPr>
          <w:rFonts w:ascii="Times New Roman" w:hAnsi="Times New Roman" w:cs="Times New Roman"/>
          <w:lang w:val="en-US"/>
        </w:rPr>
        <w:t xml:space="preserve">, </w:t>
      </w:r>
      <w:r w:rsidRPr="00643D6D">
        <w:rPr>
          <w:rFonts w:ascii="Times New Roman" w:hAnsi="Times New Roman" w:cs="Times New Roman"/>
          <w:lang w:val="en-US"/>
        </w:rPr>
        <w:t>requirements</w:t>
      </w:r>
      <w:r w:rsidR="008F52AC">
        <w:rPr>
          <w:rFonts w:ascii="Times New Roman" w:hAnsi="Times New Roman" w:cs="Times New Roman"/>
          <w:lang w:val="en-US"/>
        </w:rPr>
        <w:t>.</w:t>
      </w:r>
    </w:p>
    <w:p w:rsidR="00A92262" w:rsidRDefault="00A92262" w:rsidP="00A92262">
      <w:pPr>
        <w:spacing w:line="240" w:lineRule="auto"/>
        <w:ind w:firstLine="720"/>
        <w:jc w:val="center"/>
        <w:rPr>
          <w:rFonts w:ascii="Times New Roman" w:hAnsi="Times New Roman" w:cs="Times New Roman"/>
          <w:b/>
          <w:lang w:val="en-US"/>
        </w:rPr>
      </w:pPr>
      <w:r w:rsidRPr="00A92262">
        <w:rPr>
          <w:rFonts w:ascii="Times New Roman" w:hAnsi="Times New Roman" w:cs="Times New Roman"/>
          <w:b/>
          <w:lang w:val="en-US"/>
        </w:rPr>
        <w:lastRenderedPageBreak/>
        <w:t>EU FINANCIAL ASSISTANCE TO WESTERN BALKAN COUNTRIES WITH SPECIAL FOCUS ON ALBANIA</w:t>
      </w:r>
    </w:p>
    <w:p w:rsidR="00A92262" w:rsidRDefault="00A92262" w:rsidP="00A92262">
      <w:pPr>
        <w:spacing w:line="240" w:lineRule="auto"/>
        <w:jc w:val="both"/>
        <w:rPr>
          <w:rFonts w:ascii="Times New Roman" w:hAnsi="Times New Roman" w:cs="Times New Roman"/>
          <w:b/>
          <w:lang w:val="en-US"/>
        </w:rPr>
      </w:pPr>
    </w:p>
    <w:p w:rsidR="00D360E7" w:rsidRPr="00D360E7" w:rsidRDefault="00D360E7" w:rsidP="00A92262">
      <w:pPr>
        <w:spacing w:line="240" w:lineRule="auto"/>
        <w:jc w:val="both"/>
        <w:rPr>
          <w:rFonts w:ascii="Times New Roman" w:hAnsi="Times New Roman" w:cs="Times New Roman"/>
          <w:b/>
          <w:lang w:val="en-US"/>
        </w:rPr>
      </w:pPr>
      <w:r w:rsidRPr="00D360E7">
        <w:rPr>
          <w:rFonts w:ascii="Times New Roman" w:hAnsi="Times New Roman" w:cs="Times New Roman"/>
          <w:b/>
          <w:lang w:val="en-US"/>
        </w:rPr>
        <w:t>Financial assistance to the Western Balkan countries</w:t>
      </w:r>
    </w:p>
    <w:p w:rsidR="00D53DB9" w:rsidRDefault="00D53DB9" w:rsidP="00A51B8B">
      <w:pPr>
        <w:spacing w:line="240" w:lineRule="auto"/>
        <w:ind w:firstLine="720"/>
        <w:jc w:val="both"/>
        <w:rPr>
          <w:rFonts w:ascii="Times New Roman" w:hAnsi="Times New Roman" w:cs="Times New Roman"/>
          <w:lang w:val="en-US"/>
        </w:rPr>
      </w:pPr>
      <w:r w:rsidRPr="00D53DB9">
        <w:rPr>
          <w:rFonts w:ascii="Times New Roman" w:hAnsi="Times New Roman" w:cs="Times New Roman"/>
          <w:lang w:val="en-US"/>
        </w:rPr>
        <w:t>The</w:t>
      </w:r>
      <w:r>
        <w:rPr>
          <w:rFonts w:ascii="Times New Roman" w:hAnsi="Times New Roman" w:cs="Times New Roman"/>
          <w:lang w:val="en-US"/>
        </w:rPr>
        <w:t xml:space="preserve"> overall objective of EU financial assistance is to help prepare the Western Balkan countries to meet the challenges of future EU membership.</w:t>
      </w:r>
    </w:p>
    <w:p w:rsidR="00D53DB9" w:rsidRDefault="00D53DB9"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In the period of 1991-1999, the total assistance to the Western Balkan countries</w:t>
      </w:r>
      <w:r w:rsidR="00F769DC">
        <w:rPr>
          <w:rFonts w:ascii="Times New Roman" w:hAnsi="Times New Roman" w:cs="Times New Roman"/>
          <w:lang w:val="en-US"/>
        </w:rPr>
        <w:t xml:space="preserve"> amounted to €4.427 billion</w:t>
      </w:r>
      <w:r>
        <w:rPr>
          <w:rFonts w:ascii="Times New Roman" w:hAnsi="Times New Roman" w:cs="Times New Roman"/>
          <w:lang w:val="en-US"/>
        </w:rPr>
        <w:t>.</w:t>
      </w:r>
    </w:p>
    <w:p w:rsidR="00D53DB9" w:rsidRDefault="007C6C38"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Table</w:t>
      </w:r>
      <w:r w:rsidR="00D53DB9">
        <w:rPr>
          <w:rFonts w:ascii="Times New Roman" w:hAnsi="Times New Roman" w:cs="Times New Roman"/>
          <w:lang w:val="en-US"/>
        </w:rPr>
        <w:t>1. EU assistance to the Western Balkans in the period 1991-1999, million euros</w:t>
      </w:r>
      <w:r w:rsidR="00445C88">
        <w:rPr>
          <w:rStyle w:val="FootnoteReference"/>
          <w:rFonts w:ascii="Times New Roman" w:hAnsi="Times New Roman" w:cs="Times New Roman"/>
          <w:lang w:val="en-US"/>
        </w:rPr>
        <w:footnoteReference w:id="1"/>
      </w:r>
    </w:p>
    <w:tbl>
      <w:tblPr>
        <w:tblW w:w="8933" w:type="dxa"/>
        <w:tblInd w:w="93" w:type="dxa"/>
        <w:tblLook w:val="04A0" w:firstRow="1" w:lastRow="0" w:firstColumn="1" w:lastColumn="0" w:noHBand="0" w:noVBand="1"/>
      </w:tblPr>
      <w:tblGrid>
        <w:gridCol w:w="960"/>
        <w:gridCol w:w="1060"/>
        <w:gridCol w:w="1350"/>
        <w:gridCol w:w="1362"/>
        <w:gridCol w:w="960"/>
        <w:gridCol w:w="960"/>
        <w:gridCol w:w="1280"/>
        <w:gridCol w:w="1001"/>
      </w:tblGrid>
      <w:tr w:rsidR="00530B4F" w:rsidRPr="00530B4F" w:rsidTr="00910A64">
        <w:trPr>
          <w:trHeight w:val="645"/>
        </w:trPr>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30B4F" w:rsidRPr="00530B4F" w:rsidRDefault="00530B4F" w:rsidP="00530B4F">
            <w:pPr>
              <w:spacing w:after="0" w:line="240" w:lineRule="auto"/>
              <w:jc w:val="both"/>
              <w:rPr>
                <w:rFonts w:ascii="Calibri" w:eastAsia="Times New Roman" w:hAnsi="Calibri" w:cs="Calibri"/>
                <w:b/>
                <w:bCs/>
                <w:color w:val="000000"/>
                <w:sz w:val="22"/>
                <w:szCs w:val="22"/>
                <w:lang w:eastAsia="mk-MK"/>
              </w:rPr>
            </w:pPr>
            <w:r w:rsidRPr="00530B4F">
              <w:rPr>
                <w:rFonts w:ascii="Calibri" w:eastAsia="Times New Roman" w:hAnsi="Calibri" w:cs="Calibri"/>
                <w:b/>
                <w:bCs/>
                <w:color w:val="000000"/>
                <w:sz w:val="22"/>
                <w:szCs w:val="22"/>
                <w:lang w:eastAsia="mk-MK"/>
              </w:rPr>
              <w:t>1991-1999</w:t>
            </w:r>
          </w:p>
        </w:tc>
        <w:tc>
          <w:tcPr>
            <w:tcW w:w="10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30B4F" w:rsidRPr="00530B4F" w:rsidRDefault="00530B4F" w:rsidP="00530B4F">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Albania</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30B4F" w:rsidRPr="00530B4F" w:rsidRDefault="00530B4F" w:rsidP="00530B4F">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Bosnia and Herzegovina</w:t>
            </w:r>
          </w:p>
        </w:tc>
        <w:tc>
          <w:tcPr>
            <w:tcW w:w="136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530B4F" w:rsidRDefault="00530B4F" w:rsidP="00530B4F">
            <w:pPr>
              <w:spacing w:after="0" w:line="240" w:lineRule="auto"/>
              <w:jc w:val="both"/>
              <w:rPr>
                <w:rFonts w:ascii="Calibri" w:eastAsia="Times New Roman" w:hAnsi="Calibri" w:cs="Calibri"/>
                <w:b/>
                <w:bCs/>
                <w:color w:val="000000"/>
                <w:sz w:val="22"/>
                <w:szCs w:val="22"/>
                <w:lang w:val="en-US" w:eastAsia="mk-MK"/>
              </w:rPr>
            </w:pPr>
          </w:p>
          <w:p w:rsidR="00530B4F" w:rsidRPr="00530B4F" w:rsidRDefault="00530B4F" w:rsidP="00530B4F">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Serbia</w:t>
            </w:r>
            <w:r w:rsidR="00902A36">
              <w:rPr>
                <w:rFonts w:ascii="Calibri" w:eastAsia="Times New Roman" w:hAnsi="Calibri" w:cs="Calibri"/>
                <w:b/>
                <w:bCs/>
                <w:color w:val="000000"/>
                <w:sz w:val="22"/>
                <w:szCs w:val="22"/>
                <w:lang w:val="en-US" w:eastAsia="mk-MK"/>
              </w:rPr>
              <w:t xml:space="preserve"> and </w:t>
            </w:r>
            <w:r w:rsidR="00902A36" w:rsidRPr="00902A36">
              <w:rPr>
                <w:rFonts w:ascii="Calibri" w:eastAsia="Times New Roman" w:hAnsi="Calibri" w:cs="Calibri"/>
                <w:b/>
                <w:bCs/>
                <w:color w:val="000000"/>
                <w:sz w:val="22"/>
                <w:szCs w:val="22"/>
                <w:lang w:val="en-US" w:eastAsia="mk-MK"/>
              </w:rPr>
              <w:t>Montenegro</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30B4F" w:rsidRPr="00530B4F" w:rsidRDefault="00530B4F" w:rsidP="00530B4F">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Kosovo</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30B4F" w:rsidRPr="00530B4F" w:rsidRDefault="00530B4F" w:rsidP="00530B4F">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Croatia</w:t>
            </w:r>
          </w:p>
        </w:tc>
        <w:tc>
          <w:tcPr>
            <w:tcW w:w="12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30B4F" w:rsidRPr="00530B4F" w:rsidRDefault="00781E22" w:rsidP="00530B4F">
            <w:pPr>
              <w:spacing w:after="0" w:line="240" w:lineRule="auto"/>
              <w:jc w:val="both"/>
              <w:rPr>
                <w:rFonts w:ascii="Calibri" w:eastAsia="Times New Roman" w:hAnsi="Calibri" w:cs="Calibri"/>
                <w:b/>
                <w:bCs/>
                <w:color w:val="000000"/>
                <w:sz w:val="22"/>
                <w:szCs w:val="22"/>
                <w:lang w:val="en-US" w:eastAsia="mk-MK"/>
              </w:rPr>
            </w:pPr>
            <w:r w:rsidRPr="00781E22">
              <w:rPr>
                <w:rFonts w:ascii="Calibri" w:eastAsia="Times New Roman" w:hAnsi="Calibri" w:cs="Calibri"/>
                <w:b/>
                <w:bCs/>
                <w:color w:val="000000"/>
                <w:sz w:val="22"/>
                <w:szCs w:val="22"/>
                <w:lang w:val="en-US" w:eastAsia="mk-MK"/>
              </w:rPr>
              <w:t>Republic of Macedonia</w:t>
            </w:r>
          </w:p>
        </w:tc>
        <w:tc>
          <w:tcPr>
            <w:tcW w:w="10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530B4F" w:rsidRPr="00530B4F" w:rsidRDefault="00530B4F" w:rsidP="00530B4F">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Total</w:t>
            </w:r>
          </w:p>
        </w:tc>
      </w:tr>
      <w:tr w:rsidR="00530B4F" w:rsidRPr="00530B4F" w:rsidTr="00910A64">
        <w:trPr>
          <w:trHeight w:val="300"/>
        </w:trPr>
        <w:tc>
          <w:tcPr>
            <w:tcW w:w="960" w:type="dxa"/>
            <w:tcBorders>
              <w:top w:val="nil"/>
              <w:left w:val="single" w:sz="4" w:space="0" w:color="auto"/>
              <w:bottom w:val="single" w:sz="4" w:space="0" w:color="auto"/>
              <w:right w:val="single" w:sz="4" w:space="0" w:color="auto"/>
            </w:tcBorders>
            <w:shd w:val="clear" w:color="auto" w:fill="FFFFCC"/>
            <w:noWrap/>
            <w:vAlign w:val="bottom"/>
            <w:hideMark/>
          </w:tcPr>
          <w:p w:rsidR="00530B4F" w:rsidRPr="00530B4F" w:rsidRDefault="00530B4F" w:rsidP="00530B4F">
            <w:pPr>
              <w:spacing w:after="0" w:line="240" w:lineRule="auto"/>
              <w:jc w:val="both"/>
              <w:rPr>
                <w:rFonts w:ascii="Calibri" w:eastAsia="Times New Roman" w:hAnsi="Calibri" w:cs="Calibri"/>
                <w:b/>
                <w:bCs/>
                <w:color w:val="000000"/>
                <w:sz w:val="22"/>
                <w:szCs w:val="22"/>
                <w:lang w:eastAsia="mk-MK"/>
              </w:rPr>
            </w:pPr>
            <w:r>
              <w:rPr>
                <w:rFonts w:ascii="Calibri" w:eastAsia="Times New Roman" w:hAnsi="Calibri" w:cs="Calibri"/>
                <w:b/>
                <w:bCs/>
                <w:color w:val="000000"/>
                <w:sz w:val="22"/>
                <w:szCs w:val="22"/>
                <w:lang w:val="en-US" w:eastAsia="mk-MK"/>
              </w:rPr>
              <w:t>TOTAL</w:t>
            </w:r>
            <w:r w:rsidRPr="00530B4F">
              <w:rPr>
                <w:rFonts w:ascii="Calibri" w:eastAsia="Times New Roman" w:hAnsi="Calibri" w:cs="Calibri"/>
                <w:b/>
                <w:bCs/>
                <w:color w:val="000000"/>
                <w:sz w:val="22"/>
                <w:szCs w:val="22"/>
                <w:lang w:eastAsia="mk-MK"/>
              </w:rPr>
              <w:t>:</w:t>
            </w:r>
          </w:p>
        </w:tc>
        <w:tc>
          <w:tcPr>
            <w:tcW w:w="1060" w:type="dxa"/>
            <w:tcBorders>
              <w:top w:val="nil"/>
              <w:left w:val="nil"/>
              <w:bottom w:val="single" w:sz="4" w:space="0" w:color="auto"/>
              <w:right w:val="single" w:sz="4" w:space="0" w:color="auto"/>
            </w:tcBorders>
            <w:shd w:val="clear" w:color="auto" w:fill="FFFFCC"/>
            <w:noWrap/>
            <w:vAlign w:val="bottom"/>
            <w:hideMark/>
          </w:tcPr>
          <w:p w:rsidR="00530B4F" w:rsidRPr="00530B4F" w:rsidRDefault="00530B4F" w:rsidP="00530B4F">
            <w:pPr>
              <w:spacing w:after="0" w:line="240" w:lineRule="auto"/>
              <w:jc w:val="both"/>
              <w:rPr>
                <w:rFonts w:ascii="Calibri" w:eastAsia="Times New Roman" w:hAnsi="Calibri" w:cs="Calibri"/>
                <w:color w:val="000000"/>
                <w:sz w:val="22"/>
                <w:szCs w:val="22"/>
                <w:lang w:eastAsia="mk-MK"/>
              </w:rPr>
            </w:pPr>
            <w:r w:rsidRPr="00530B4F">
              <w:rPr>
                <w:rFonts w:ascii="Calibri" w:eastAsia="Times New Roman" w:hAnsi="Calibri" w:cs="Calibri"/>
                <w:color w:val="000000"/>
                <w:sz w:val="22"/>
                <w:szCs w:val="22"/>
                <w:lang w:eastAsia="mk-MK"/>
              </w:rPr>
              <w:t>925,5</w:t>
            </w:r>
          </w:p>
        </w:tc>
        <w:tc>
          <w:tcPr>
            <w:tcW w:w="1350" w:type="dxa"/>
            <w:tcBorders>
              <w:top w:val="nil"/>
              <w:left w:val="nil"/>
              <w:bottom w:val="single" w:sz="4" w:space="0" w:color="auto"/>
              <w:right w:val="single" w:sz="4" w:space="0" w:color="auto"/>
            </w:tcBorders>
            <w:shd w:val="clear" w:color="auto" w:fill="FFFFCC"/>
            <w:noWrap/>
            <w:vAlign w:val="bottom"/>
            <w:hideMark/>
          </w:tcPr>
          <w:p w:rsidR="00530B4F" w:rsidRPr="00530B4F" w:rsidRDefault="00530B4F" w:rsidP="00530B4F">
            <w:pPr>
              <w:spacing w:after="0" w:line="240" w:lineRule="auto"/>
              <w:jc w:val="both"/>
              <w:rPr>
                <w:rFonts w:ascii="Calibri" w:eastAsia="Times New Roman" w:hAnsi="Calibri" w:cs="Calibri"/>
                <w:color w:val="000000"/>
                <w:sz w:val="22"/>
                <w:szCs w:val="22"/>
                <w:lang w:eastAsia="mk-MK"/>
              </w:rPr>
            </w:pPr>
            <w:r w:rsidRPr="00530B4F">
              <w:rPr>
                <w:rFonts w:ascii="Calibri" w:eastAsia="Times New Roman" w:hAnsi="Calibri" w:cs="Calibri"/>
                <w:color w:val="000000"/>
                <w:sz w:val="22"/>
                <w:szCs w:val="22"/>
                <w:lang w:eastAsia="mk-MK"/>
              </w:rPr>
              <w:t>2</w:t>
            </w:r>
            <w:r>
              <w:rPr>
                <w:rFonts w:ascii="Calibri" w:eastAsia="Times New Roman" w:hAnsi="Calibri" w:cs="Calibri"/>
                <w:color w:val="000000"/>
                <w:sz w:val="22"/>
                <w:szCs w:val="22"/>
                <w:lang w:val="en-US" w:eastAsia="mk-MK"/>
              </w:rPr>
              <w:t>.</w:t>
            </w:r>
            <w:r w:rsidRPr="00530B4F">
              <w:rPr>
                <w:rFonts w:ascii="Calibri" w:eastAsia="Times New Roman" w:hAnsi="Calibri" w:cs="Calibri"/>
                <w:color w:val="000000"/>
                <w:sz w:val="22"/>
                <w:szCs w:val="22"/>
                <w:lang w:eastAsia="mk-MK"/>
              </w:rPr>
              <w:t>093,2</w:t>
            </w:r>
          </w:p>
        </w:tc>
        <w:tc>
          <w:tcPr>
            <w:tcW w:w="1362" w:type="dxa"/>
            <w:tcBorders>
              <w:top w:val="nil"/>
              <w:left w:val="nil"/>
              <w:bottom w:val="single" w:sz="4" w:space="0" w:color="auto"/>
              <w:right w:val="single" w:sz="4" w:space="0" w:color="auto"/>
            </w:tcBorders>
            <w:shd w:val="clear" w:color="auto" w:fill="FFFFCC"/>
            <w:noWrap/>
            <w:vAlign w:val="bottom"/>
            <w:hideMark/>
          </w:tcPr>
          <w:p w:rsidR="00530B4F" w:rsidRPr="00530B4F" w:rsidRDefault="00530B4F" w:rsidP="00530B4F">
            <w:pPr>
              <w:spacing w:after="0" w:line="240" w:lineRule="auto"/>
              <w:jc w:val="both"/>
              <w:rPr>
                <w:rFonts w:ascii="Calibri" w:eastAsia="Times New Roman" w:hAnsi="Calibri" w:cs="Calibri"/>
                <w:color w:val="000000"/>
                <w:sz w:val="22"/>
                <w:szCs w:val="22"/>
                <w:lang w:eastAsia="mk-MK"/>
              </w:rPr>
            </w:pPr>
            <w:r w:rsidRPr="00530B4F">
              <w:rPr>
                <w:rFonts w:ascii="Calibri" w:eastAsia="Times New Roman" w:hAnsi="Calibri" w:cs="Calibri"/>
                <w:color w:val="000000"/>
                <w:sz w:val="22"/>
                <w:szCs w:val="22"/>
                <w:lang w:eastAsia="mk-MK"/>
              </w:rPr>
              <w:t>425,6</w:t>
            </w:r>
          </w:p>
        </w:tc>
        <w:tc>
          <w:tcPr>
            <w:tcW w:w="960" w:type="dxa"/>
            <w:tcBorders>
              <w:top w:val="nil"/>
              <w:left w:val="nil"/>
              <w:bottom w:val="single" w:sz="4" w:space="0" w:color="auto"/>
              <w:right w:val="single" w:sz="4" w:space="0" w:color="auto"/>
            </w:tcBorders>
            <w:shd w:val="clear" w:color="auto" w:fill="FFFFCC"/>
            <w:noWrap/>
            <w:vAlign w:val="bottom"/>
            <w:hideMark/>
          </w:tcPr>
          <w:p w:rsidR="00530B4F" w:rsidRPr="00530B4F" w:rsidRDefault="00530B4F" w:rsidP="00530B4F">
            <w:pPr>
              <w:spacing w:after="0" w:line="240" w:lineRule="auto"/>
              <w:jc w:val="both"/>
              <w:rPr>
                <w:rFonts w:ascii="Calibri" w:eastAsia="Times New Roman" w:hAnsi="Calibri" w:cs="Calibri"/>
                <w:color w:val="000000"/>
                <w:sz w:val="22"/>
                <w:szCs w:val="22"/>
                <w:lang w:eastAsia="mk-MK"/>
              </w:rPr>
            </w:pPr>
            <w:r w:rsidRPr="00530B4F">
              <w:rPr>
                <w:rFonts w:ascii="Calibri" w:eastAsia="Times New Roman" w:hAnsi="Calibri" w:cs="Calibri"/>
                <w:color w:val="000000"/>
                <w:sz w:val="22"/>
                <w:szCs w:val="22"/>
                <w:lang w:eastAsia="mk-MK"/>
              </w:rPr>
              <w:t>272,8</w:t>
            </w:r>
          </w:p>
        </w:tc>
        <w:tc>
          <w:tcPr>
            <w:tcW w:w="960" w:type="dxa"/>
            <w:tcBorders>
              <w:top w:val="nil"/>
              <w:left w:val="nil"/>
              <w:bottom w:val="single" w:sz="4" w:space="0" w:color="auto"/>
              <w:right w:val="single" w:sz="4" w:space="0" w:color="auto"/>
            </w:tcBorders>
            <w:shd w:val="clear" w:color="auto" w:fill="FFFFCC"/>
            <w:noWrap/>
            <w:vAlign w:val="bottom"/>
            <w:hideMark/>
          </w:tcPr>
          <w:p w:rsidR="00530B4F" w:rsidRPr="00530B4F" w:rsidRDefault="00530B4F" w:rsidP="00530B4F">
            <w:pPr>
              <w:spacing w:after="0" w:line="240" w:lineRule="auto"/>
              <w:jc w:val="both"/>
              <w:rPr>
                <w:rFonts w:ascii="Calibri" w:eastAsia="Times New Roman" w:hAnsi="Calibri" w:cs="Calibri"/>
                <w:color w:val="000000"/>
                <w:sz w:val="22"/>
                <w:szCs w:val="22"/>
                <w:lang w:eastAsia="mk-MK"/>
              </w:rPr>
            </w:pPr>
            <w:r w:rsidRPr="00530B4F">
              <w:rPr>
                <w:rFonts w:ascii="Calibri" w:eastAsia="Times New Roman" w:hAnsi="Calibri" w:cs="Calibri"/>
                <w:color w:val="000000"/>
                <w:sz w:val="22"/>
                <w:szCs w:val="22"/>
                <w:lang w:eastAsia="mk-MK"/>
              </w:rPr>
              <w:t>347,7</w:t>
            </w:r>
          </w:p>
        </w:tc>
        <w:tc>
          <w:tcPr>
            <w:tcW w:w="1280" w:type="dxa"/>
            <w:tcBorders>
              <w:top w:val="nil"/>
              <w:left w:val="nil"/>
              <w:bottom w:val="single" w:sz="4" w:space="0" w:color="auto"/>
              <w:right w:val="single" w:sz="4" w:space="0" w:color="auto"/>
            </w:tcBorders>
            <w:shd w:val="clear" w:color="auto" w:fill="FFFFCC"/>
            <w:noWrap/>
            <w:vAlign w:val="bottom"/>
            <w:hideMark/>
          </w:tcPr>
          <w:p w:rsidR="00530B4F" w:rsidRPr="00530B4F" w:rsidRDefault="00530B4F" w:rsidP="00530B4F">
            <w:pPr>
              <w:spacing w:after="0" w:line="240" w:lineRule="auto"/>
              <w:jc w:val="both"/>
              <w:rPr>
                <w:rFonts w:ascii="Calibri" w:eastAsia="Times New Roman" w:hAnsi="Calibri" w:cs="Calibri"/>
                <w:color w:val="000000"/>
                <w:sz w:val="22"/>
                <w:szCs w:val="22"/>
                <w:lang w:eastAsia="mk-MK"/>
              </w:rPr>
            </w:pPr>
            <w:r w:rsidRPr="00530B4F">
              <w:rPr>
                <w:rFonts w:ascii="Calibri" w:eastAsia="Times New Roman" w:hAnsi="Calibri" w:cs="Calibri"/>
                <w:color w:val="000000"/>
                <w:sz w:val="22"/>
                <w:szCs w:val="22"/>
                <w:lang w:eastAsia="mk-MK"/>
              </w:rPr>
              <w:t>363,8</w:t>
            </w:r>
          </w:p>
        </w:tc>
        <w:tc>
          <w:tcPr>
            <w:tcW w:w="1001" w:type="dxa"/>
            <w:tcBorders>
              <w:top w:val="nil"/>
              <w:left w:val="nil"/>
              <w:bottom w:val="single" w:sz="4" w:space="0" w:color="auto"/>
              <w:right w:val="single" w:sz="4" w:space="0" w:color="auto"/>
            </w:tcBorders>
            <w:shd w:val="clear" w:color="auto" w:fill="FFFFCC"/>
            <w:noWrap/>
            <w:vAlign w:val="bottom"/>
            <w:hideMark/>
          </w:tcPr>
          <w:p w:rsidR="00530B4F" w:rsidRPr="00530B4F" w:rsidRDefault="00530B4F" w:rsidP="00530B4F">
            <w:pPr>
              <w:spacing w:after="0" w:line="240" w:lineRule="auto"/>
              <w:jc w:val="both"/>
              <w:rPr>
                <w:rFonts w:ascii="Calibri" w:eastAsia="Times New Roman" w:hAnsi="Calibri" w:cs="Calibri"/>
                <w:b/>
                <w:bCs/>
                <w:color w:val="000000"/>
                <w:sz w:val="22"/>
                <w:szCs w:val="22"/>
                <w:lang w:eastAsia="mk-MK"/>
              </w:rPr>
            </w:pPr>
            <w:r w:rsidRPr="00530B4F">
              <w:rPr>
                <w:rFonts w:ascii="Calibri" w:eastAsia="Times New Roman" w:hAnsi="Calibri" w:cs="Calibri"/>
                <w:b/>
                <w:bCs/>
                <w:color w:val="000000"/>
                <w:sz w:val="22"/>
                <w:szCs w:val="22"/>
                <w:lang w:eastAsia="mk-MK"/>
              </w:rPr>
              <w:t>4</w:t>
            </w:r>
            <w:r>
              <w:rPr>
                <w:rFonts w:ascii="Calibri" w:eastAsia="Times New Roman" w:hAnsi="Calibri" w:cs="Calibri"/>
                <w:b/>
                <w:bCs/>
                <w:color w:val="000000"/>
                <w:sz w:val="22"/>
                <w:szCs w:val="22"/>
                <w:lang w:val="en-US" w:eastAsia="mk-MK"/>
              </w:rPr>
              <w:t>.</w:t>
            </w:r>
            <w:r w:rsidR="00D3147F">
              <w:rPr>
                <w:rFonts w:ascii="Calibri" w:eastAsia="Times New Roman" w:hAnsi="Calibri" w:cs="Calibri"/>
                <w:b/>
                <w:bCs/>
                <w:color w:val="000000"/>
                <w:sz w:val="22"/>
                <w:szCs w:val="22"/>
                <w:lang w:eastAsia="mk-MK"/>
              </w:rPr>
              <w:t>427</w:t>
            </w:r>
            <w:r w:rsidR="00D3147F">
              <w:rPr>
                <w:rFonts w:ascii="Calibri" w:eastAsia="Times New Roman" w:hAnsi="Calibri" w:cs="Calibri"/>
                <w:b/>
                <w:bCs/>
                <w:color w:val="000000"/>
                <w:sz w:val="22"/>
                <w:szCs w:val="22"/>
                <w:lang w:val="en-US" w:eastAsia="mk-MK"/>
              </w:rPr>
              <w:t>,</w:t>
            </w:r>
            <w:r w:rsidRPr="00530B4F">
              <w:rPr>
                <w:rFonts w:ascii="Calibri" w:eastAsia="Times New Roman" w:hAnsi="Calibri" w:cs="Calibri"/>
                <w:b/>
                <w:bCs/>
                <w:color w:val="000000"/>
                <w:sz w:val="22"/>
                <w:szCs w:val="22"/>
                <w:lang w:eastAsia="mk-MK"/>
              </w:rPr>
              <w:t>95</w:t>
            </w:r>
          </w:p>
        </w:tc>
      </w:tr>
    </w:tbl>
    <w:p w:rsidR="00445C88" w:rsidRDefault="00445C88" w:rsidP="00D360E7">
      <w:pPr>
        <w:spacing w:line="240" w:lineRule="auto"/>
        <w:ind w:firstLine="720"/>
        <w:jc w:val="both"/>
        <w:rPr>
          <w:rFonts w:ascii="Times New Roman" w:hAnsi="Times New Roman" w:cs="Times New Roman"/>
          <w:lang w:val="en-US"/>
        </w:rPr>
      </w:pPr>
      <w:r>
        <w:rPr>
          <w:rFonts w:ascii="Times New Roman" w:hAnsi="Times New Roman" w:cs="Times New Roman"/>
          <w:lang w:val="en-US"/>
        </w:rPr>
        <w:t>Source</w:t>
      </w:r>
      <w:r w:rsidRPr="00445C88">
        <w:rPr>
          <w:rFonts w:ascii="Times New Roman" w:hAnsi="Times New Roman" w:cs="Times New Roman"/>
          <w:lang w:val="en-US"/>
        </w:rPr>
        <w:t xml:space="preserve">: </w:t>
      </w:r>
      <w:hyperlink r:id="rId9" w:history="1">
        <w:r w:rsidRPr="00457651">
          <w:rPr>
            <w:rStyle w:val="Hyperlink"/>
            <w:rFonts w:ascii="Times New Roman" w:hAnsi="Times New Roman" w:cs="Times New Roman"/>
            <w:lang w:val="en-US"/>
          </w:rPr>
          <w:t>http://web.ceu.hu/cens/assets/files/IPA.pdf</w:t>
        </w:r>
      </w:hyperlink>
    </w:p>
    <w:p w:rsidR="00D53DB9" w:rsidRDefault="007F2954"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From 2000 to 2007, SAPARD, ISPA, PHARE and CARDS were financial instruments which help candidate and potential candidate countries to carry out reforms, important for accession preparations, as per the membership criteria, but also for the economic and social modernization of the countries.</w:t>
      </w:r>
    </w:p>
    <w:p w:rsidR="007F2954" w:rsidRDefault="007F2954"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The purpose of the SAPARD </w:t>
      </w:r>
      <w:proofErr w:type="spellStart"/>
      <w:r w:rsidR="00D360E7" w:rsidRPr="00D360E7">
        <w:rPr>
          <w:rFonts w:ascii="Times New Roman" w:hAnsi="Times New Roman" w:cs="Times New Roman"/>
          <w:lang w:val="en-US"/>
        </w:rPr>
        <w:t>programme</w:t>
      </w:r>
      <w:proofErr w:type="spellEnd"/>
      <w:r w:rsidR="00D360E7" w:rsidRPr="00D360E7">
        <w:rPr>
          <w:rFonts w:ascii="Times New Roman" w:hAnsi="Times New Roman" w:cs="Times New Roman"/>
          <w:lang w:val="en-US"/>
        </w:rPr>
        <w:t xml:space="preserve"> </w:t>
      </w:r>
      <w:r>
        <w:rPr>
          <w:rFonts w:ascii="Times New Roman" w:hAnsi="Times New Roman" w:cs="Times New Roman"/>
          <w:lang w:val="en-US"/>
        </w:rPr>
        <w:t>is to provide assistance in the agricultural sector and rural areas while the task of ISPA is to help the realization of priority infrastructure project</w:t>
      </w:r>
      <w:r w:rsidR="0034711E">
        <w:rPr>
          <w:rFonts w:ascii="Times New Roman" w:hAnsi="Times New Roman" w:cs="Times New Roman"/>
          <w:lang w:val="en-US"/>
        </w:rPr>
        <w:t>s</w:t>
      </w:r>
      <w:r>
        <w:rPr>
          <w:rFonts w:ascii="Times New Roman" w:hAnsi="Times New Roman" w:cs="Times New Roman"/>
          <w:lang w:val="en-US"/>
        </w:rPr>
        <w:t xml:space="preserve"> in the field of environmental protection and transportation.</w:t>
      </w:r>
    </w:p>
    <w:p w:rsidR="00A51B8B" w:rsidRDefault="00E63F42"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The objectives of the PHARE </w:t>
      </w:r>
      <w:proofErr w:type="spellStart"/>
      <w:r>
        <w:rPr>
          <w:rFonts w:ascii="Times New Roman" w:hAnsi="Times New Roman" w:cs="Times New Roman"/>
          <w:lang w:val="en-US"/>
        </w:rPr>
        <w:t>programme</w:t>
      </w:r>
      <w:proofErr w:type="spellEnd"/>
      <w:r>
        <w:rPr>
          <w:rFonts w:ascii="Times New Roman" w:hAnsi="Times New Roman" w:cs="Times New Roman"/>
          <w:lang w:val="en-US"/>
        </w:rPr>
        <w:t xml:space="preserve"> are to strengthen public administration and institutions for better and more effective functioning within the EU, to promote convergence with the European law in order to reduce the period of transition and to promote economic and social cohesion.</w:t>
      </w:r>
    </w:p>
    <w:p w:rsidR="00601530" w:rsidRDefault="00601530"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The CARDS </w:t>
      </w:r>
      <w:proofErr w:type="spellStart"/>
      <w:r>
        <w:rPr>
          <w:rFonts w:ascii="Times New Roman" w:hAnsi="Times New Roman" w:cs="Times New Roman"/>
          <w:lang w:val="en-US"/>
        </w:rPr>
        <w:t>programme</w:t>
      </w:r>
      <w:proofErr w:type="spellEnd"/>
      <w:r>
        <w:rPr>
          <w:rFonts w:ascii="Times New Roman" w:hAnsi="Times New Roman" w:cs="Times New Roman"/>
          <w:lang w:val="en-US"/>
        </w:rPr>
        <w:t xml:space="preserve"> is focused on reconstruction and infrastructure, promotion of democracy, economic and social development and regional cooperation.</w:t>
      </w:r>
    </w:p>
    <w:p w:rsidR="00601530" w:rsidRDefault="00601530"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For the period 2000-2006 the assistance to the </w:t>
      </w:r>
      <w:r w:rsidRPr="00601530">
        <w:rPr>
          <w:rFonts w:ascii="Times New Roman" w:hAnsi="Times New Roman" w:cs="Times New Roman"/>
          <w:lang w:val="en-US"/>
        </w:rPr>
        <w:t>Western Balkan countries</w:t>
      </w:r>
      <w:r>
        <w:rPr>
          <w:rFonts w:ascii="Times New Roman" w:hAnsi="Times New Roman" w:cs="Times New Roman"/>
          <w:lang w:val="en-US"/>
        </w:rPr>
        <w:t xml:space="preserve"> amounted to more than </w:t>
      </w:r>
      <w:r w:rsidR="00F769DC">
        <w:rPr>
          <w:rFonts w:ascii="Times New Roman" w:hAnsi="Times New Roman" w:cs="Times New Roman"/>
          <w:lang w:val="en-US"/>
        </w:rPr>
        <w:t>€</w:t>
      </w:r>
      <w:r>
        <w:rPr>
          <w:rFonts w:ascii="Times New Roman" w:hAnsi="Times New Roman" w:cs="Times New Roman"/>
          <w:lang w:val="en-US"/>
        </w:rPr>
        <w:t>5 billion.</w:t>
      </w:r>
    </w:p>
    <w:p w:rsidR="00601530" w:rsidRDefault="000B40B2"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Table</w:t>
      </w:r>
      <w:r w:rsidR="00601530">
        <w:rPr>
          <w:rFonts w:ascii="Times New Roman" w:hAnsi="Times New Roman" w:cs="Times New Roman"/>
          <w:lang w:val="en-US"/>
        </w:rPr>
        <w:t xml:space="preserve">2. </w:t>
      </w:r>
      <w:r w:rsidR="00601530" w:rsidRPr="00601530">
        <w:rPr>
          <w:rFonts w:ascii="Times New Roman" w:hAnsi="Times New Roman" w:cs="Times New Roman"/>
          <w:lang w:val="en-US"/>
        </w:rPr>
        <w:t xml:space="preserve">EU aid for the Western Balkans through CARDS </w:t>
      </w:r>
      <w:proofErr w:type="spellStart"/>
      <w:r w:rsidR="00601530" w:rsidRPr="00601530">
        <w:rPr>
          <w:rFonts w:ascii="Times New Roman" w:hAnsi="Times New Roman" w:cs="Times New Roman"/>
          <w:lang w:val="en-US"/>
        </w:rPr>
        <w:t>program</w:t>
      </w:r>
      <w:r w:rsidR="00795EA6">
        <w:rPr>
          <w:rFonts w:ascii="Times New Roman" w:hAnsi="Times New Roman" w:cs="Times New Roman"/>
          <w:lang w:val="en-US"/>
        </w:rPr>
        <w:t>me</w:t>
      </w:r>
      <w:proofErr w:type="spellEnd"/>
      <w:r w:rsidR="00601530" w:rsidRPr="00601530">
        <w:rPr>
          <w:rFonts w:ascii="Times New Roman" w:hAnsi="Times New Roman" w:cs="Times New Roman"/>
          <w:lang w:val="en-US"/>
        </w:rPr>
        <w:t xml:space="preserve"> for the period </w:t>
      </w:r>
      <w:r w:rsidR="00F769DC">
        <w:rPr>
          <w:rFonts w:ascii="Times New Roman" w:hAnsi="Times New Roman" w:cs="Times New Roman"/>
          <w:lang w:val="en-US"/>
        </w:rPr>
        <w:t>2000/2006, in million</w:t>
      </w:r>
      <w:r w:rsidR="00601530">
        <w:rPr>
          <w:rFonts w:ascii="Times New Roman" w:hAnsi="Times New Roman" w:cs="Times New Roman"/>
          <w:lang w:val="en-US"/>
        </w:rPr>
        <w:t xml:space="preserve"> euros</w:t>
      </w:r>
      <w:r w:rsidR="00445C88">
        <w:rPr>
          <w:rStyle w:val="FootnoteReference"/>
          <w:rFonts w:ascii="Times New Roman" w:hAnsi="Times New Roman" w:cs="Times New Roman"/>
          <w:lang w:val="en-US"/>
        </w:rPr>
        <w:footnoteReference w:id="2"/>
      </w:r>
    </w:p>
    <w:tbl>
      <w:tblPr>
        <w:tblW w:w="9953" w:type="dxa"/>
        <w:tblInd w:w="-318" w:type="dxa"/>
        <w:tblLook w:val="04A0" w:firstRow="1" w:lastRow="0" w:firstColumn="1" w:lastColumn="0" w:noHBand="0" w:noVBand="1"/>
      </w:tblPr>
      <w:tblGrid>
        <w:gridCol w:w="1374"/>
        <w:gridCol w:w="1090"/>
        <w:gridCol w:w="1350"/>
        <w:gridCol w:w="1362"/>
        <w:gridCol w:w="953"/>
        <w:gridCol w:w="1237"/>
        <w:gridCol w:w="1270"/>
        <w:gridCol w:w="1317"/>
      </w:tblGrid>
      <w:tr w:rsidR="00601530" w:rsidRPr="00601530" w:rsidTr="00910A64">
        <w:trPr>
          <w:trHeight w:val="645"/>
        </w:trPr>
        <w:tc>
          <w:tcPr>
            <w:tcW w:w="137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601530" w:rsidRPr="00601530" w:rsidRDefault="00601530" w:rsidP="00601530">
            <w:pPr>
              <w:spacing w:after="0"/>
              <w:jc w:val="both"/>
              <w:rPr>
                <w:rFonts w:ascii="Calibri" w:eastAsia="Times New Roman" w:hAnsi="Calibri" w:cs="Calibri"/>
                <w:b/>
                <w:bCs/>
                <w:color w:val="000000"/>
                <w:sz w:val="22"/>
                <w:szCs w:val="22"/>
                <w:lang w:val="en-US" w:eastAsia="mk-MK"/>
              </w:rPr>
            </w:pPr>
            <w:r w:rsidRPr="00601530">
              <w:rPr>
                <w:rFonts w:ascii="Calibri" w:eastAsia="Times New Roman" w:hAnsi="Calibri" w:cs="Calibri"/>
                <w:b/>
                <w:bCs/>
                <w:color w:val="000000"/>
                <w:sz w:val="22"/>
                <w:szCs w:val="22"/>
                <w:lang w:val="en-US" w:eastAsia="mk-MK"/>
              </w:rPr>
              <w:t>2000</w:t>
            </w:r>
            <w:r w:rsidRPr="00601530">
              <w:rPr>
                <w:rFonts w:ascii="Calibri" w:eastAsia="Times New Roman" w:hAnsi="Calibri" w:cs="Calibri"/>
                <w:b/>
                <w:bCs/>
                <w:color w:val="000000"/>
                <w:sz w:val="22"/>
                <w:szCs w:val="22"/>
                <w:lang w:eastAsia="mk-MK"/>
              </w:rPr>
              <w:t>-</w:t>
            </w:r>
            <w:r w:rsidRPr="00601530">
              <w:rPr>
                <w:rFonts w:ascii="Calibri" w:eastAsia="Times New Roman" w:hAnsi="Calibri" w:cs="Calibri"/>
                <w:b/>
                <w:bCs/>
                <w:color w:val="000000"/>
                <w:sz w:val="22"/>
                <w:szCs w:val="22"/>
                <w:lang w:val="en-US" w:eastAsia="mk-MK"/>
              </w:rPr>
              <w:t>2006</w:t>
            </w:r>
          </w:p>
        </w:tc>
        <w:tc>
          <w:tcPr>
            <w:tcW w:w="109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01530" w:rsidRPr="00601530" w:rsidRDefault="00601530" w:rsidP="00601530">
            <w:pPr>
              <w:spacing w:after="0"/>
              <w:jc w:val="both"/>
              <w:rPr>
                <w:rFonts w:ascii="Calibri" w:eastAsia="Times New Roman" w:hAnsi="Calibri" w:cs="Calibri"/>
                <w:b/>
                <w:bCs/>
                <w:color w:val="000000"/>
                <w:sz w:val="22"/>
                <w:szCs w:val="22"/>
                <w:lang w:eastAsia="mk-MK"/>
              </w:rPr>
            </w:pPr>
            <w:r w:rsidRPr="00601530">
              <w:rPr>
                <w:rFonts w:ascii="Calibri" w:eastAsia="Times New Roman" w:hAnsi="Calibri" w:cs="Calibri"/>
                <w:b/>
                <w:bCs/>
                <w:color w:val="000000"/>
                <w:sz w:val="22"/>
                <w:szCs w:val="22"/>
                <w:lang w:eastAsia="mk-MK"/>
              </w:rPr>
              <w:t>Albania</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01530" w:rsidRPr="00601530" w:rsidRDefault="00601530" w:rsidP="00601530">
            <w:pPr>
              <w:spacing w:after="0"/>
              <w:jc w:val="both"/>
              <w:rPr>
                <w:rFonts w:ascii="Calibri" w:eastAsia="Times New Roman" w:hAnsi="Calibri" w:cs="Calibri"/>
                <w:b/>
                <w:bCs/>
                <w:color w:val="000000"/>
                <w:sz w:val="22"/>
                <w:szCs w:val="22"/>
                <w:lang w:eastAsia="mk-MK"/>
              </w:rPr>
            </w:pPr>
            <w:r w:rsidRPr="00601530">
              <w:rPr>
                <w:rFonts w:ascii="Calibri" w:eastAsia="Times New Roman" w:hAnsi="Calibri" w:cs="Calibri"/>
                <w:b/>
                <w:bCs/>
                <w:color w:val="000000"/>
                <w:sz w:val="22"/>
                <w:szCs w:val="22"/>
                <w:lang w:eastAsia="mk-MK"/>
              </w:rPr>
              <w:t>Bosnia and Herzegovina</w:t>
            </w:r>
          </w:p>
        </w:tc>
        <w:tc>
          <w:tcPr>
            <w:tcW w:w="136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01530" w:rsidRPr="00601530" w:rsidRDefault="00601530" w:rsidP="00601530">
            <w:pPr>
              <w:spacing w:after="0"/>
              <w:jc w:val="both"/>
              <w:rPr>
                <w:rFonts w:ascii="Calibri" w:eastAsia="Times New Roman" w:hAnsi="Calibri" w:cs="Calibri"/>
                <w:b/>
                <w:bCs/>
                <w:color w:val="000000"/>
                <w:sz w:val="22"/>
                <w:szCs w:val="22"/>
                <w:lang w:eastAsia="mk-MK"/>
              </w:rPr>
            </w:pPr>
            <w:r w:rsidRPr="00601530">
              <w:rPr>
                <w:rFonts w:ascii="Calibri" w:eastAsia="Times New Roman" w:hAnsi="Calibri" w:cs="Calibri"/>
                <w:b/>
                <w:bCs/>
                <w:color w:val="000000"/>
                <w:sz w:val="22"/>
                <w:szCs w:val="22"/>
                <w:lang w:eastAsia="mk-MK"/>
              </w:rPr>
              <w:t>Serbia and Montenegro</w:t>
            </w:r>
          </w:p>
        </w:tc>
        <w:tc>
          <w:tcPr>
            <w:tcW w:w="953"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601530" w:rsidRPr="00601530" w:rsidRDefault="00601530" w:rsidP="00601530">
            <w:pPr>
              <w:spacing w:after="0"/>
              <w:jc w:val="both"/>
              <w:rPr>
                <w:rFonts w:ascii="Calibri" w:eastAsia="Times New Roman" w:hAnsi="Calibri" w:cs="Calibri"/>
                <w:b/>
                <w:bCs/>
                <w:color w:val="000000"/>
                <w:sz w:val="22"/>
                <w:szCs w:val="22"/>
                <w:lang w:eastAsia="mk-MK"/>
              </w:rPr>
            </w:pPr>
            <w:r w:rsidRPr="00601530">
              <w:rPr>
                <w:rFonts w:ascii="Calibri" w:eastAsia="Times New Roman" w:hAnsi="Calibri" w:cs="Calibri"/>
                <w:b/>
                <w:bCs/>
                <w:color w:val="000000"/>
                <w:sz w:val="22"/>
                <w:szCs w:val="22"/>
                <w:lang w:eastAsia="mk-MK"/>
              </w:rPr>
              <w:t>Croatia</w:t>
            </w:r>
          </w:p>
        </w:tc>
        <w:tc>
          <w:tcPr>
            <w:tcW w:w="123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601530" w:rsidRPr="00601530" w:rsidRDefault="00601530" w:rsidP="00601530">
            <w:pPr>
              <w:spacing w:after="0"/>
              <w:jc w:val="both"/>
              <w:rPr>
                <w:rFonts w:ascii="Calibri" w:eastAsia="Times New Roman" w:hAnsi="Calibri" w:cs="Calibri"/>
                <w:b/>
                <w:bCs/>
                <w:color w:val="000000"/>
                <w:sz w:val="22"/>
                <w:szCs w:val="22"/>
                <w:lang w:eastAsia="mk-MK"/>
              </w:rPr>
            </w:pPr>
            <w:r w:rsidRPr="00601530">
              <w:rPr>
                <w:rFonts w:ascii="Calibri" w:eastAsia="Times New Roman" w:hAnsi="Calibri" w:cs="Calibri"/>
                <w:b/>
                <w:bCs/>
                <w:color w:val="000000"/>
                <w:sz w:val="22"/>
                <w:szCs w:val="22"/>
                <w:lang w:eastAsia="mk-MK"/>
              </w:rPr>
              <w:t>Republic of Macedonia</w:t>
            </w:r>
          </w:p>
        </w:tc>
        <w:tc>
          <w:tcPr>
            <w:tcW w:w="127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601530" w:rsidRPr="007C6C38" w:rsidRDefault="007C6C38" w:rsidP="00601530">
            <w:pPr>
              <w:spacing w:after="0"/>
              <w:jc w:val="both"/>
              <w:rPr>
                <w:rFonts w:ascii="Calibri" w:eastAsia="Times New Roman" w:hAnsi="Calibri" w:cs="Calibri"/>
                <w:b/>
                <w:bCs/>
                <w:color w:val="000000"/>
                <w:sz w:val="22"/>
                <w:szCs w:val="22"/>
                <w:lang w:val="en-US" w:eastAsia="mk-MK"/>
              </w:rPr>
            </w:pPr>
            <w:r w:rsidRPr="007C6C38">
              <w:rPr>
                <w:rFonts w:ascii="Calibri" w:eastAsia="Times New Roman" w:hAnsi="Calibri" w:cs="Calibri"/>
                <w:b/>
                <w:bCs/>
                <w:sz w:val="22"/>
                <w:szCs w:val="22"/>
                <w:lang w:val="en-US" w:eastAsia="mk-MK"/>
              </w:rPr>
              <w:t>Other countries</w:t>
            </w:r>
          </w:p>
        </w:tc>
        <w:tc>
          <w:tcPr>
            <w:tcW w:w="13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01530" w:rsidRPr="00601530" w:rsidRDefault="00601530" w:rsidP="00601530">
            <w:pPr>
              <w:spacing w:after="0"/>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Total</w:t>
            </w:r>
          </w:p>
        </w:tc>
      </w:tr>
      <w:tr w:rsidR="00601530" w:rsidRPr="00601530" w:rsidTr="00910A64">
        <w:trPr>
          <w:trHeight w:val="300"/>
        </w:trPr>
        <w:tc>
          <w:tcPr>
            <w:tcW w:w="1374" w:type="dxa"/>
            <w:tcBorders>
              <w:top w:val="nil"/>
              <w:left w:val="single" w:sz="4" w:space="0" w:color="auto"/>
              <w:bottom w:val="single" w:sz="4" w:space="0" w:color="auto"/>
              <w:right w:val="single" w:sz="4" w:space="0" w:color="auto"/>
            </w:tcBorders>
            <w:shd w:val="clear" w:color="auto" w:fill="FFFFCC"/>
            <w:noWrap/>
            <w:vAlign w:val="bottom"/>
            <w:hideMark/>
          </w:tcPr>
          <w:p w:rsidR="00601530" w:rsidRPr="00601530" w:rsidRDefault="00601530" w:rsidP="00601530">
            <w:pPr>
              <w:spacing w:after="0"/>
              <w:jc w:val="both"/>
              <w:rPr>
                <w:rFonts w:ascii="Calibri" w:eastAsia="Times New Roman" w:hAnsi="Calibri" w:cs="Calibri"/>
                <w:b/>
                <w:bCs/>
                <w:color w:val="000000"/>
                <w:sz w:val="22"/>
                <w:szCs w:val="22"/>
                <w:lang w:eastAsia="mk-MK"/>
              </w:rPr>
            </w:pPr>
            <w:r>
              <w:rPr>
                <w:rFonts w:ascii="Calibri" w:eastAsia="Times New Roman" w:hAnsi="Calibri" w:cs="Calibri"/>
                <w:b/>
                <w:bCs/>
                <w:color w:val="000000"/>
                <w:sz w:val="22"/>
                <w:szCs w:val="22"/>
                <w:lang w:val="en-US" w:eastAsia="mk-MK"/>
              </w:rPr>
              <w:t>TOTAL</w:t>
            </w:r>
            <w:r w:rsidRPr="00601530">
              <w:rPr>
                <w:rFonts w:ascii="Calibri" w:eastAsia="Times New Roman" w:hAnsi="Calibri" w:cs="Calibri"/>
                <w:b/>
                <w:bCs/>
                <w:color w:val="000000"/>
                <w:sz w:val="22"/>
                <w:szCs w:val="22"/>
                <w:lang w:eastAsia="mk-MK"/>
              </w:rPr>
              <w:t>:</w:t>
            </w:r>
          </w:p>
        </w:tc>
        <w:tc>
          <w:tcPr>
            <w:tcW w:w="1090" w:type="dxa"/>
            <w:tcBorders>
              <w:top w:val="nil"/>
              <w:left w:val="nil"/>
              <w:bottom w:val="single" w:sz="4" w:space="0" w:color="auto"/>
              <w:right w:val="single" w:sz="4" w:space="0" w:color="auto"/>
            </w:tcBorders>
            <w:shd w:val="clear" w:color="auto" w:fill="FFFFCC"/>
            <w:noWrap/>
            <w:vAlign w:val="bottom"/>
          </w:tcPr>
          <w:p w:rsidR="00601530" w:rsidRPr="00601530" w:rsidRDefault="00601530" w:rsidP="00601530">
            <w:pPr>
              <w:spacing w:after="0"/>
              <w:jc w:val="both"/>
              <w:rPr>
                <w:rFonts w:ascii="Calibri" w:eastAsia="Times New Roman" w:hAnsi="Calibri" w:cs="Calibri"/>
                <w:color w:val="000000"/>
                <w:sz w:val="22"/>
                <w:szCs w:val="22"/>
                <w:lang w:eastAsia="mk-MK"/>
              </w:rPr>
            </w:pPr>
            <w:r w:rsidRPr="00601530">
              <w:rPr>
                <w:rFonts w:ascii="Calibri" w:eastAsia="Times New Roman" w:hAnsi="Calibri" w:cs="Calibri"/>
                <w:color w:val="000000"/>
                <w:sz w:val="22"/>
                <w:szCs w:val="22"/>
                <w:lang w:eastAsia="mk-MK"/>
              </w:rPr>
              <w:t>315,5</w:t>
            </w:r>
          </w:p>
        </w:tc>
        <w:tc>
          <w:tcPr>
            <w:tcW w:w="1350" w:type="dxa"/>
            <w:tcBorders>
              <w:top w:val="nil"/>
              <w:left w:val="nil"/>
              <w:bottom w:val="single" w:sz="4" w:space="0" w:color="auto"/>
              <w:right w:val="single" w:sz="4" w:space="0" w:color="auto"/>
            </w:tcBorders>
            <w:shd w:val="clear" w:color="auto" w:fill="FFFFCC"/>
            <w:noWrap/>
            <w:vAlign w:val="bottom"/>
          </w:tcPr>
          <w:p w:rsidR="00601530" w:rsidRPr="00601530" w:rsidRDefault="00601530" w:rsidP="00601530">
            <w:pPr>
              <w:spacing w:after="0"/>
              <w:jc w:val="both"/>
              <w:rPr>
                <w:rFonts w:ascii="Calibri" w:eastAsia="Times New Roman" w:hAnsi="Calibri" w:cs="Calibri"/>
                <w:color w:val="000000"/>
                <w:sz w:val="22"/>
                <w:szCs w:val="22"/>
                <w:lang w:eastAsia="mk-MK"/>
              </w:rPr>
            </w:pPr>
            <w:r w:rsidRPr="00601530">
              <w:rPr>
                <w:rFonts w:ascii="Calibri" w:eastAsia="Times New Roman" w:hAnsi="Calibri" w:cs="Calibri"/>
                <w:color w:val="000000"/>
                <w:sz w:val="22"/>
                <w:szCs w:val="22"/>
                <w:lang w:eastAsia="mk-MK"/>
              </w:rPr>
              <w:t>502,8</w:t>
            </w:r>
          </w:p>
        </w:tc>
        <w:tc>
          <w:tcPr>
            <w:tcW w:w="1362" w:type="dxa"/>
            <w:tcBorders>
              <w:top w:val="nil"/>
              <w:left w:val="nil"/>
              <w:bottom w:val="single" w:sz="4" w:space="0" w:color="auto"/>
              <w:right w:val="single" w:sz="4" w:space="0" w:color="auto"/>
            </w:tcBorders>
            <w:shd w:val="clear" w:color="auto" w:fill="FFFFCC"/>
            <w:noWrap/>
            <w:vAlign w:val="bottom"/>
          </w:tcPr>
          <w:p w:rsidR="00601530" w:rsidRPr="00601530" w:rsidRDefault="00601530" w:rsidP="00601530">
            <w:pPr>
              <w:spacing w:after="0"/>
              <w:jc w:val="both"/>
              <w:rPr>
                <w:rFonts w:ascii="Calibri" w:eastAsia="Times New Roman" w:hAnsi="Calibri" w:cs="Calibri"/>
                <w:color w:val="000000"/>
                <w:sz w:val="22"/>
                <w:szCs w:val="22"/>
                <w:lang w:eastAsia="mk-MK"/>
              </w:rPr>
            </w:pPr>
            <w:r w:rsidRPr="00601530">
              <w:rPr>
                <w:rFonts w:ascii="Calibri" w:eastAsia="Times New Roman" w:hAnsi="Calibri" w:cs="Calibri"/>
                <w:color w:val="000000"/>
                <w:sz w:val="22"/>
                <w:szCs w:val="22"/>
                <w:lang w:eastAsia="mk-MK"/>
              </w:rPr>
              <w:t>2,547,8</w:t>
            </w:r>
          </w:p>
        </w:tc>
        <w:tc>
          <w:tcPr>
            <w:tcW w:w="953" w:type="dxa"/>
            <w:tcBorders>
              <w:top w:val="nil"/>
              <w:left w:val="nil"/>
              <w:bottom w:val="single" w:sz="4" w:space="0" w:color="auto"/>
              <w:right w:val="single" w:sz="4" w:space="0" w:color="auto"/>
            </w:tcBorders>
            <w:shd w:val="clear" w:color="auto" w:fill="FFFFCC"/>
            <w:noWrap/>
            <w:vAlign w:val="bottom"/>
          </w:tcPr>
          <w:p w:rsidR="00601530" w:rsidRPr="00601530" w:rsidRDefault="00601530" w:rsidP="00601530">
            <w:pPr>
              <w:spacing w:after="0"/>
              <w:jc w:val="both"/>
              <w:rPr>
                <w:rFonts w:ascii="Calibri" w:eastAsia="Times New Roman" w:hAnsi="Calibri" w:cs="Calibri"/>
                <w:color w:val="000000"/>
                <w:sz w:val="22"/>
                <w:szCs w:val="22"/>
                <w:lang w:eastAsia="mk-MK"/>
              </w:rPr>
            </w:pPr>
            <w:r w:rsidRPr="00601530">
              <w:rPr>
                <w:rFonts w:ascii="Calibri" w:eastAsia="Times New Roman" w:hAnsi="Calibri" w:cs="Calibri"/>
                <w:color w:val="000000"/>
                <w:sz w:val="22"/>
                <w:szCs w:val="22"/>
                <w:lang w:eastAsia="mk-MK"/>
              </w:rPr>
              <w:t>523,8</w:t>
            </w:r>
          </w:p>
        </w:tc>
        <w:tc>
          <w:tcPr>
            <w:tcW w:w="1237" w:type="dxa"/>
            <w:tcBorders>
              <w:top w:val="nil"/>
              <w:left w:val="nil"/>
              <w:bottom w:val="single" w:sz="4" w:space="0" w:color="auto"/>
              <w:right w:val="single" w:sz="4" w:space="0" w:color="auto"/>
            </w:tcBorders>
            <w:shd w:val="clear" w:color="auto" w:fill="FFFFCC"/>
            <w:noWrap/>
            <w:vAlign w:val="bottom"/>
          </w:tcPr>
          <w:p w:rsidR="00601530" w:rsidRPr="00601530" w:rsidRDefault="00601530" w:rsidP="00601530">
            <w:pPr>
              <w:spacing w:after="0"/>
              <w:jc w:val="both"/>
              <w:rPr>
                <w:rFonts w:ascii="Calibri" w:eastAsia="Times New Roman" w:hAnsi="Calibri" w:cs="Calibri"/>
                <w:color w:val="000000"/>
                <w:sz w:val="22"/>
                <w:szCs w:val="22"/>
                <w:lang w:eastAsia="mk-MK"/>
              </w:rPr>
            </w:pPr>
            <w:r w:rsidRPr="00601530">
              <w:rPr>
                <w:rFonts w:ascii="Calibri" w:eastAsia="Times New Roman" w:hAnsi="Calibri" w:cs="Calibri"/>
                <w:color w:val="000000"/>
                <w:sz w:val="22"/>
                <w:szCs w:val="22"/>
                <w:lang w:eastAsia="mk-MK"/>
              </w:rPr>
              <w:t>298,2</w:t>
            </w:r>
          </w:p>
        </w:tc>
        <w:tc>
          <w:tcPr>
            <w:tcW w:w="1270" w:type="dxa"/>
            <w:tcBorders>
              <w:top w:val="nil"/>
              <w:left w:val="nil"/>
              <w:bottom w:val="single" w:sz="4" w:space="0" w:color="auto"/>
              <w:right w:val="single" w:sz="4" w:space="0" w:color="auto"/>
            </w:tcBorders>
            <w:shd w:val="clear" w:color="auto" w:fill="FFFFCC"/>
            <w:noWrap/>
            <w:vAlign w:val="bottom"/>
          </w:tcPr>
          <w:p w:rsidR="00601530" w:rsidRPr="00601530" w:rsidRDefault="00601530" w:rsidP="00601530">
            <w:pPr>
              <w:spacing w:after="0"/>
              <w:jc w:val="both"/>
              <w:rPr>
                <w:rFonts w:ascii="Calibri" w:eastAsia="Times New Roman" w:hAnsi="Calibri" w:cs="Calibri"/>
                <w:color w:val="000000"/>
                <w:sz w:val="22"/>
                <w:szCs w:val="22"/>
                <w:lang w:eastAsia="mk-MK"/>
              </w:rPr>
            </w:pPr>
            <w:r w:rsidRPr="00601530">
              <w:rPr>
                <w:rFonts w:ascii="Calibri" w:eastAsia="Times New Roman" w:hAnsi="Calibri" w:cs="Calibri"/>
                <w:color w:val="000000"/>
                <w:sz w:val="22"/>
                <w:szCs w:val="22"/>
                <w:lang w:eastAsia="mk-MK"/>
              </w:rPr>
              <w:t>1187,1</w:t>
            </w:r>
          </w:p>
        </w:tc>
        <w:tc>
          <w:tcPr>
            <w:tcW w:w="1317" w:type="dxa"/>
            <w:tcBorders>
              <w:top w:val="nil"/>
              <w:left w:val="nil"/>
              <w:bottom w:val="single" w:sz="4" w:space="0" w:color="auto"/>
              <w:right w:val="single" w:sz="4" w:space="0" w:color="auto"/>
            </w:tcBorders>
            <w:shd w:val="clear" w:color="auto" w:fill="FFFFCC"/>
            <w:noWrap/>
            <w:vAlign w:val="bottom"/>
          </w:tcPr>
          <w:p w:rsidR="00601530" w:rsidRPr="00601530" w:rsidRDefault="00D3147F" w:rsidP="00601530">
            <w:pPr>
              <w:spacing w:after="0"/>
              <w:jc w:val="both"/>
              <w:rPr>
                <w:rFonts w:ascii="Calibri" w:eastAsia="Times New Roman" w:hAnsi="Calibri" w:cs="Calibri"/>
                <w:b/>
                <w:bCs/>
                <w:color w:val="000000"/>
                <w:sz w:val="22"/>
                <w:szCs w:val="22"/>
                <w:lang w:eastAsia="mk-MK"/>
              </w:rPr>
            </w:pPr>
            <w:r>
              <w:rPr>
                <w:rFonts w:ascii="Calibri" w:eastAsia="Times New Roman" w:hAnsi="Calibri" w:cs="Calibri"/>
                <w:b/>
                <w:bCs/>
                <w:color w:val="000000"/>
                <w:sz w:val="22"/>
                <w:szCs w:val="22"/>
                <w:lang w:eastAsia="mk-MK"/>
              </w:rPr>
              <w:t>5</w:t>
            </w:r>
            <w:r>
              <w:rPr>
                <w:rFonts w:ascii="Calibri" w:eastAsia="Times New Roman" w:hAnsi="Calibri" w:cs="Calibri"/>
                <w:b/>
                <w:bCs/>
                <w:color w:val="000000"/>
                <w:sz w:val="22"/>
                <w:szCs w:val="22"/>
                <w:lang w:val="en-US" w:eastAsia="mk-MK"/>
              </w:rPr>
              <w:t>.</w:t>
            </w:r>
            <w:r w:rsidR="00601530" w:rsidRPr="00601530">
              <w:rPr>
                <w:rFonts w:ascii="Calibri" w:eastAsia="Times New Roman" w:hAnsi="Calibri" w:cs="Calibri"/>
                <w:b/>
                <w:bCs/>
                <w:color w:val="000000"/>
                <w:sz w:val="22"/>
                <w:szCs w:val="22"/>
                <w:lang w:eastAsia="mk-MK"/>
              </w:rPr>
              <w:t>375,2</w:t>
            </w:r>
          </w:p>
        </w:tc>
      </w:tr>
    </w:tbl>
    <w:p w:rsidR="00A92262" w:rsidRDefault="00445C88" w:rsidP="00A92262">
      <w:pPr>
        <w:spacing w:line="240" w:lineRule="auto"/>
        <w:ind w:firstLine="720"/>
        <w:jc w:val="both"/>
        <w:rPr>
          <w:rFonts w:ascii="Times New Roman" w:hAnsi="Times New Roman" w:cs="Times New Roman"/>
          <w:lang w:val="en-US"/>
        </w:rPr>
      </w:pPr>
      <w:r>
        <w:rPr>
          <w:rFonts w:ascii="Times New Roman" w:hAnsi="Times New Roman" w:cs="Times New Roman"/>
          <w:lang w:val="en-US"/>
        </w:rPr>
        <w:t>Source</w:t>
      </w:r>
      <w:r w:rsidRPr="00445C88">
        <w:rPr>
          <w:rFonts w:ascii="Times New Roman" w:hAnsi="Times New Roman" w:cs="Times New Roman"/>
          <w:lang w:val="en-US"/>
        </w:rPr>
        <w:t xml:space="preserve">: </w:t>
      </w:r>
      <w:hyperlink r:id="rId10" w:history="1">
        <w:r w:rsidRPr="00457651">
          <w:rPr>
            <w:rStyle w:val="Hyperlink"/>
            <w:rFonts w:ascii="Times New Roman" w:hAnsi="Times New Roman" w:cs="Times New Roman"/>
            <w:lang w:val="en-US"/>
          </w:rPr>
          <w:t>http://web.ceu.hu/cens/assets/files/IPA.pdf</w:t>
        </w:r>
      </w:hyperlink>
    </w:p>
    <w:p w:rsidR="00601530" w:rsidRDefault="00601530" w:rsidP="00A92262">
      <w:pPr>
        <w:spacing w:line="240" w:lineRule="auto"/>
        <w:ind w:firstLine="720"/>
        <w:jc w:val="both"/>
        <w:rPr>
          <w:rFonts w:ascii="Times New Roman" w:hAnsi="Times New Roman" w:cs="Times New Roman"/>
          <w:lang w:val="en-US"/>
        </w:rPr>
      </w:pPr>
      <w:r>
        <w:rPr>
          <w:rFonts w:ascii="Times New Roman" w:hAnsi="Times New Roman" w:cs="Times New Roman"/>
          <w:lang w:val="en-US"/>
        </w:rPr>
        <w:lastRenderedPageBreak/>
        <w:t>In 2007, with a view to streamline all pre-accession assistance in a single framework and under the same regulation, the new instrument for Pre-accession Assistance (IPA)</w:t>
      </w:r>
      <w:r w:rsidR="00871FAC">
        <w:rPr>
          <w:rFonts w:ascii="Times New Roman" w:hAnsi="Times New Roman" w:cs="Times New Roman"/>
          <w:lang w:val="en-US"/>
        </w:rPr>
        <w:t xml:space="preserve"> replaced the previous pre-accession </w:t>
      </w:r>
      <w:proofErr w:type="spellStart"/>
      <w:r w:rsidR="00871FAC">
        <w:rPr>
          <w:rFonts w:ascii="Times New Roman" w:hAnsi="Times New Roman" w:cs="Times New Roman"/>
          <w:lang w:val="en-US"/>
        </w:rPr>
        <w:t>programmes</w:t>
      </w:r>
      <w:proofErr w:type="spellEnd"/>
      <w:r w:rsidR="00871FAC">
        <w:rPr>
          <w:rFonts w:ascii="Times New Roman" w:hAnsi="Times New Roman" w:cs="Times New Roman"/>
          <w:lang w:val="en-US"/>
        </w:rPr>
        <w:t>.</w:t>
      </w:r>
    </w:p>
    <w:p w:rsidR="00871FAC" w:rsidRDefault="00871FAC"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The main objective of the IPA</w:t>
      </w:r>
      <w:r w:rsidR="00DC2E5C">
        <w:rPr>
          <w:rFonts w:ascii="Times New Roman" w:hAnsi="Times New Roman" w:cs="Times New Roman"/>
          <w:lang w:val="en-US"/>
        </w:rPr>
        <w:t xml:space="preserve"> is to help the countries to face the challenge of European integration, to implement the reforms needed to meet EU requirements and progress in the stabilization and Association Process and the lay the foundations for fulfilling Copenhagen criteria for the EU membership.</w:t>
      </w:r>
    </w:p>
    <w:p w:rsidR="00DC2E5C" w:rsidRDefault="00DC2E5C"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The financial assis</w:t>
      </w:r>
      <w:r w:rsidR="00F769DC">
        <w:rPr>
          <w:rFonts w:ascii="Times New Roman" w:hAnsi="Times New Roman" w:cs="Times New Roman"/>
          <w:lang w:val="en-US"/>
        </w:rPr>
        <w:t>tance to the Western Balkans from</w:t>
      </w:r>
      <w:r>
        <w:rPr>
          <w:rFonts w:ascii="Times New Roman" w:hAnsi="Times New Roman" w:cs="Times New Roman"/>
          <w:lang w:val="en-US"/>
        </w:rPr>
        <w:t xml:space="preserve"> the IPA will be</w:t>
      </w:r>
      <w:r w:rsidR="000F7074">
        <w:rPr>
          <w:rFonts w:ascii="Times New Roman" w:hAnsi="Times New Roman" w:cs="Times New Roman"/>
          <w:lang w:val="en-US"/>
        </w:rPr>
        <w:t xml:space="preserve"> more than </w:t>
      </w:r>
      <w:r w:rsidR="00F769DC">
        <w:rPr>
          <w:rFonts w:ascii="Times New Roman" w:hAnsi="Times New Roman" w:cs="Times New Roman"/>
          <w:lang w:val="en-US"/>
        </w:rPr>
        <w:t>€</w:t>
      </w:r>
      <w:r w:rsidR="000F7074">
        <w:rPr>
          <w:rFonts w:ascii="Times New Roman" w:hAnsi="Times New Roman" w:cs="Times New Roman"/>
          <w:lang w:val="en-US"/>
        </w:rPr>
        <w:t>4</w:t>
      </w:r>
      <w:r w:rsidR="000F7074" w:rsidRPr="000F7074">
        <w:rPr>
          <w:rFonts w:ascii="Times New Roman" w:hAnsi="Times New Roman" w:cs="Times New Roman"/>
          <w:lang w:val="en-US"/>
        </w:rPr>
        <w:t xml:space="preserve"> billion.</w:t>
      </w:r>
    </w:p>
    <w:p w:rsidR="000F7074" w:rsidRPr="00601530" w:rsidRDefault="000B40B2" w:rsidP="00A51B8B">
      <w:pPr>
        <w:spacing w:line="240" w:lineRule="auto"/>
        <w:ind w:firstLine="720"/>
        <w:jc w:val="both"/>
        <w:rPr>
          <w:rFonts w:ascii="Times New Roman" w:hAnsi="Times New Roman" w:cs="Times New Roman"/>
          <w:lang w:val="en-US"/>
        </w:rPr>
      </w:pPr>
      <w:r>
        <w:rPr>
          <w:rFonts w:ascii="Times New Roman" w:hAnsi="Times New Roman" w:cs="Times New Roman"/>
          <w:lang w:val="en-US"/>
        </w:rPr>
        <w:t>Table</w:t>
      </w:r>
      <w:r w:rsidR="000F7074">
        <w:rPr>
          <w:rFonts w:ascii="Times New Roman" w:hAnsi="Times New Roman" w:cs="Times New Roman"/>
          <w:lang w:val="en-US"/>
        </w:rPr>
        <w:t xml:space="preserve">3. The financial assistance </w:t>
      </w:r>
      <w:r w:rsidR="000F7074" w:rsidRPr="000F7074">
        <w:rPr>
          <w:rFonts w:ascii="Times New Roman" w:hAnsi="Times New Roman" w:cs="Times New Roman"/>
          <w:lang w:val="en-US"/>
        </w:rPr>
        <w:t>to the Western Balkans</w:t>
      </w:r>
      <w:r w:rsidR="000F7074">
        <w:rPr>
          <w:rFonts w:ascii="Times New Roman" w:hAnsi="Times New Roman" w:cs="Times New Roman"/>
          <w:lang w:val="en-US"/>
        </w:rPr>
        <w:t xml:space="preserve"> </w:t>
      </w:r>
      <w:r w:rsidR="000F7074" w:rsidRPr="000F7074">
        <w:rPr>
          <w:rFonts w:ascii="Times New Roman" w:hAnsi="Times New Roman" w:cs="Times New Roman"/>
          <w:lang w:val="en-US"/>
        </w:rPr>
        <w:t>in the period</w:t>
      </w:r>
      <w:r w:rsidR="00F769DC">
        <w:rPr>
          <w:rFonts w:ascii="Times New Roman" w:hAnsi="Times New Roman" w:cs="Times New Roman"/>
          <w:lang w:val="en-US"/>
        </w:rPr>
        <w:t xml:space="preserve"> 2007-2013 (</w:t>
      </w:r>
      <w:r w:rsidR="00015220">
        <w:rPr>
          <w:rFonts w:ascii="Times New Roman" w:hAnsi="Times New Roman" w:cs="Times New Roman"/>
          <w:lang w:val="en-US"/>
        </w:rPr>
        <w:t>IPA</w:t>
      </w:r>
      <w:r w:rsidR="00F769DC">
        <w:rPr>
          <w:rFonts w:ascii="Times New Roman" w:hAnsi="Times New Roman" w:cs="Times New Roman"/>
          <w:lang w:val="en-US"/>
        </w:rPr>
        <w:t>)</w:t>
      </w:r>
      <w:r w:rsidR="00445C88">
        <w:rPr>
          <w:rStyle w:val="FootnoteReference"/>
          <w:rFonts w:ascii="Times New Roman" w:hAnsi="Times New Roman" w:cs="Times New Roman"/>
          <w:lang w:val="en-US"/>
        </w:rPr>
        <w:footnoteReference w:id="3"/>
      </w:r>
    </w:p>
    <w:tbl>
      <w:tblPr>
        <w:tblW w:w="10903" w:type="dxa"/>
        <w:tblInd w:w="-601" w:type="dxa"/>
        <w:tblLook w:val="04A0" w:firstRow="1" w:lastRow="0" w:firstColumn="1" w:lastColumn="0" w:noHBand="0" w:noVBand="1"/>
      </w:tblPr>
      <w:tblGrid>
        <w:gridCol w:w="1192"/>
        <w:gridCol w:w="1331"/>
        <w:gridCol w:w="1350"/>
        <w:gridCol w:w="1498"/>
        <w:gridCol w:w="1362"/>
        <w:gridCol w:w="1331"/>
        <w:gridCol w:w="1331"/>
        <w:gridCol w:w="1508"/>
      </w:tblGrid>
      <w:tr w:rsidR="00EB4024" w:rsidRPr="00530B4F" w:rsidTr="00910A64">
        <w:trPr>
          <w:trHeight w:val="645"/>
        </w:trPr>
        <w:tc>
          <w:tcPr>
            <w:tcW w:w="119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0F7074" w:rsidRPr="00530B4F" w:rsidRDefault="000F7074" w:rsidP="002266BD">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2007-2013</w:t>
            </w:r>
          </w:p>
        </w:tc>
        <w:tc>
          <w:tcPr>
            <w:tcW w:w="133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F7074" w:rsidRPr="00530B4F" w:rsidRDefault="000F7074" w:rsidP="002266BD">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Albania</w:t>
            </w:r>
          </w:p>
        </w:tc>
        <w:tc>
          <w:tcPr>
            <w:tcW w:w="13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F7074" w:rsidRPr="00530B4F" w:rsidRDefault="000F7074" w:rsidP="002266BD">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Bosnia and Herzegovina</w:t>
            </w:r>
          </w:p>
        </w:tc>
        <w:tc>
          <w:tcPr>
            <w:tcW w:w="149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0F7074" w:rsidRDefault="000F7074" w:rsidP="002266BD">
            <w:pPr>
              <w:spacing w:after="0" w:line="240" w:lineRule="auto"/>
              <w:jc w:val="both"/>
              <w:rPr>
                <w:rFonts w:ascii="Calibri" w:eastAsia="Times New Roman" w:hAnsi="Calibri" w:cs="Calibri"/>
                <w:b/>
                <w:bCs/>
                <w:color w:val="000000"/>
                <w:sz w:val="22"/>
                <w:szCs w:val="22"/>
                <w:lang w:val="en-US" w:eastAsia="mk-MK"/>
              </w:rPr>
            </w:pPr>
          </w:p>
          <w:p w:rsidR="000F7074" w:rsidRPr="00530B4F" w:rsidRDefault="000F7074" w:rsidP="000F7074">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 xml:space="preserve">Serbia </w:t>
            </w:r>
          </w:p>
        </w:tc>
        <w:tc>
          <w:tcPr>
            <w:tcW w:w="136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F7074" w:rsidRPr="00530B4F" w:rsidRDefault="000F7074" w:rsidP="002266BD">
            <w:pPr>
              <w:spacing w:after="0" w:line="240" w:lineRule="auto"/>
              <w:jc w:val="both"/>
              <w:rPr>
                <w:rFonts w:ascii="Calibri" w:eastAsia="Times New Roman" w:hAnsi="Calibri" w:cs="Calibri"/>
                <w:b/>
                <w:bCs/>
                <w:color w:val="000000"/>
                <w:sz w:val="22"/>
                <w:szCs w:val="22"/>
                <w:lang w:val="en-US" w:eastAsia="mk-MK"/>
              </w:rPr>
            </w:pPr>
            <w:r w:rsidRPr="000F7074">
              <w:rPr>
                <w:rFonts w:ascii="Calibri" w:eastAsia="Times New Roman" w:hAnsi="Calibri" w:cs="Calibri"/>
                <w:b/>
                <w:bCs/>
                <w:color w:val="000000"/>
                <w:sz w:val="22"/>
                <w:szCs w:val="22"/>
                <w:lang w:val="en-US" w:eastAsia="mk-MK"/>
              </w:rPr>
              <w:t>Montenegro</w:t>
            </w:r>
          </w:p>
        </w:tc>
        <w:tc>
          <w:tcPr>
            <w:tcW w:w="133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F7074" w:rsidRPr="00530B4F" w:rsidRDefault="000F7074" w:rsidP="002266BD">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Croatia</w:t>
            </w:r>
          </w:p>
        </w:tc>
        <w:tc>
          <w:tcPr>
            <w:tcW w:w="13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0F7074" w:rsidRPr="00530B4F" w:rsidRDefault="000F7074" w:rsidP="002266BD">
            <w:pPr>
              <w:spacing w:after="0" w:line="240" w:lineRule="auto"/>
              <w:jc w:val="both"/>
              <w:rPr>
                <w:rFonts w:ascii="Calibri" w:eastAsia="Times New Roman" w:hAnsi="Calibri" w:cs="Calibri"/>
                <w:b/>
                <w:bCs/>
                <w:color w:val="000000"/>
                <w:sz w:val="22"/>
                <w:szCs w:val="22"/>
                <w:lang w:val="en-US" w:eastAsia="mk-MK"/>
              </w:rPr>
            </w:pPr>
            <w:r w:rsidRPr="00781E22">
              <w:rPr>
                <w:rFonts w:ascii="Calibri" w:eastAsia="Times New Roman" w:hAnsi="Calibri" w:cs="Calibri"/>
                <w:b/>
                <w:bCs/>
                <w:color w:val="000000"/>
                <w:sz w:val="22"/>
                <w:szCs w:val="22"/>
                <w:lang w:val="en-US" w:eastAsia="mk-MK"/>
              </w:rPr>
              <w:t>Republic of Macedonia</w:t>
            </w:r>
          </w:p>
        </w:tc>
        <w:tc>
          <w:tcPr>
            <w:tcW w:w="15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0F7074" w:rsidRPr="00530B4F" w:rsidRDefault="000F7074" w:rsidP="00EB4024">
            <w:pPr>
              <w:spacing w:after="0" w:line="240" w:lineRule="auto"/>
              <w:ind w:right="307"/>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Total</w:t>
            </w:r>
          </w:p>
        </w:tc>
      </w:tr>
      <w:tr w:rsidR="00EB4024" w:rsidRPr="00530B4F" w:rsidTr="00910A64">
        <w:trPr>
          <w:trHeight w:val="300"/>
        </w:trPr>
        <w:tc>
          <w:tcPr>
            <w:tcW w:w="1192" w:type="dxa"/>
            <w:tcBorders>
              <w:top w:val="nil"/>
              <w:left w:val="single" w:sz="4" w:space="0" w:color="auto"/>
              <w:bottom w:val="single" w:sz="4" w:space="0" w:color="auto"/>
              <w:right w:val="single" w:sz="4" w:space="0" w:color="auto"/>
            </w:tcBorders>
            <w:shd w:val="clear" w:color="auto" w:fill="FFFFCC"/>
            <w:noWrap/>
            <w:vAlign w:val="bottom"/>
            <w:hideMark/>
          </w:tcPr>
          <w:p w:rsidR="000F7074" w:rsidRPr="00530B4F" w:rsidRDefault="000F7074" w:rsidP="002266BD">
            <w:pPr>
              <w:spacing w:after="0" w:line="240" w:lineRule="auto"/>
              <w:jc w:val="both"/>
              <w:rPr>
                <w:rFonts w:ascii="Calibri" w:eastAsia="Times New Roman" w:hAnsi="Calibri" w:cs="Calibri"/>
                <w:b/>
                <w:bCs/>
                <w:color w:val="000000"/>
                <w:sz w:val="22"/>
                <w:szCs w:val="22"/>
                <w:lang w:eastAsia="mk-MK"/>
              </w:rPr>
            </w:pPr>
            <w:r>
              <w:rPr>
                <w:rFonts w:ascii="Calibri" w:eastAsia="Times New Roman" w:hAnsi="Calibri" w:cs="Calibri"/>
                <w:b/>
                <w:bCs/>
                <w:color w:val="000000"/>
                <w:sz w:val="22"/>
                <w:szCs w:val="22"/>
                <w:lang w:val="en-US" w:eastAsia="mk-MK"/>
              </w:rPr>
              <w:t>TOTAL</w:t>
            </w:r>
            <w:r w:rsidRPr="00530B4F">
              <w:rPr>
                <w:rFonts w:ascii="Calibri" w:eastAsia="Times New Roman" w:hAnsi="Calibri" w:cs="Calibri"/>
                <w:b/>
                <w:bCs/>
                <w:color w:val="000000"/>
                <w:sz w:val="22"/>
                <w:szCs w:val="22"/>
                <w:lang w:eastAsia="mk-MK"/>
              </w:rPr>
              <w:t>:</w:t>
            </w:r>
          </w:p>
        </w:tc>
        <w:tc>
          <w:tcPr>
            <w:tcW w:w="1331" w:type="dxa"/>
            <w:tcBorders>
              <w:top w:val="nil"/>
              <w:left w:val="nil"/>
              <w:bottom w:val="single" w:sz="4" w:space="0" w:color="auto"/>
              <w:right w:val="single" w:sz="4" w:space="0" w:color="auto"/>
            </w:tcBorders>
            <w:shd w:val="clear" w:color="auto" w:fill="FFFFCC"/>
            <w:noWrap/>
            <w:vAlign w:val="bottom"/>
            <w:hideMark/>
          </w:tcPr>
          <w:p w:rsidR="000F7074" w:rsidRPr="00530B4F" w:rsidRDefault="000F7074" w:rsidP="002266BD">
            <w:pPr>
              <w:spacing w:after="0" w:line="240" w:lineRule="auto"/>
              <w:jc w:val="both"/>
              <w:rPr>
                <w:rFonts w:ascii="Calibri" w:eastAsia="Times New Roman" w:hAnsi="Calibri" w:cs="Calibri"/>
                <w:color w:val="000000"/>
                <w:sz w:val="22"/>
                <w:szCs w:val="22"/>
                <w:lang w:val="en-US" w:eastAsia="mk-MK"/>
              </w:rPr>
            </w:pPr>
            <w:r>
              <w:rPr>
                <w:rFonts w:ascii="Calibri" w:eastAsia="Times New Roman" w:hAnsi="Calibri" w:cs="Calibri"/>
                <w:color w:val="000000"/>
                <w:sz w:val="22"/>
                <w:szCs w:val="22"/>
                <w:lang w:val="en-US" w:eastAsia="mk-MK"/>
              </w:rPr>
              <w:t>597.830.813</w:t>
            </w:r>
          </w:p>
        </w:tc>
        <w:tc>
          <w:tcPr>
            <w:tcW w:w="1350" w:type="dxa"/>
            <w:tcBorders>
              <w:top w:val="nil"/>
              <w:left w:val="nil"/>
              <w:bottom w:val="single" w:sz="4" w:space="0" w:color="auto"/>
              <w:right w:val="single" w:sz="4" w:space="0" w:color="auto"/>
            </w:tcBorders>
            <w:shd w:val="clear" w:color="auto" w:fill="FFFFCC"/>
            <w:noWrap/>
            <w:vAlign w:val="bottom"/>
            <w:hideMark/>
          </w:tcPr>
          <w:p w:rsidR="000F7074" w:rsidRPr="00530B4F" w:rsidRDefault="000F7074" w:rsidP="002266BD">
            <w:pPr>
              <w:spacing w:after="0" w:line="240" w:lineRule="auto"/>
              <w:jc w:val="both"/>
              <w:rPr>
                <w:rFonts w:ascii="Calibri" w:eastAsia="Times New Roman" w:hAnsi="Calibri" w:cs="Calibri"/>
                <w:color w:val="000000"/>
                <w:sz w:val="22"/>
                <w:szCs w:val="22"/>
                <w:lang w:val="en-US" w:eastAsia="mk-MK"/>
              </w:rPr>
            </w:pPr>
            <w:r>
              <w:rPr>
                <w:rFonts w:ascii="Calibri" w:eastAsia="Times New Roman" w:hAnsi="Calibri" w:cs="Calibri"/>
                <w:color w:val="000000"/>
                <w:sz w:val="22"/>
                <w:szCs w:val="22"/>
                <w:lang w:val="en-US" w:eastAsia="mk-MK"/>
              </w:rPr>
              <w:t>658.501.243</w:t>
            </w:r>
          </w:p>
        </w:tc>
        <w:tc>
          <w:tcPr>
            <w:tcW w:w="1498" w:type="dxa"/>
            <w:tcBorders>
              <w:top w:val="nil"/>
              <w:left w:val="nil"/>
              <w:bottom w:val="single" w:sz="4" w:space="0" w:color="auto"/>
              <w:right w:val="single" w:sz="4" w:space="0" w:color="auto"/>
            </w:tcBorders>
            <w:shd w:val="clear" w:color="auto" w:fill="FFFFCC"/>
            <w:noWrap/>
            <w:vAlign w:val="bottom"/>
            <w:hideMark/>
          </w:tcPr>
          <w:p w:rsidR="000F7074" w:rsidRPr="00530B4F" w:rsidRDefault="000F7074" w:rsidP="002266BD">
            <w:pPr>
              <w:spacing w:after="0" w:line="240" w:lineRule="auto"/>
              <w:jc w:val="both"/>
              <w:rPr>
                <w:rFonts w:ascii="Calibri" w:eastAsia="Times New Roman" w:hAnsi="Calibri" w:cs="Calibri"/>
                <w:color w:val="000000"/>
                <w:sz w:val="22"/>
                <w:szCs w:val="22"/>
                <w:lang w:val="en-US" w:eastAsia="mk-MK"/>
              </w:rPr>
            </w:pPr>
            <w:r>
              <w:rPr>
                <w:rFonts w:ascii="Calibri" w:eastAsia="Times New Roman" w:hAnsi="Calibri" w:cs="Calibri"/>
                <w:color w:val="000000"/>
                <w:sz w:val="22"/>
                <w:szCs w:val="22"/>
                <w:lang w:val="en-US" w:eastAsia="mk-MK"/>
              </w:rPr>
              <w:t>1.392.067.970</w:t>
            </w:r>
          </w:p>
        </w:tc>
        <w:tc>
          <w:tcPr>
            <w:tcW w:w="1362" w:type="dxa"/>
            <w:tcBorders>
              <w:top w:val="nil"/>
              <w:left w:val="nil"/>
              <w:bottom w:val="single" w:sz="4" w:space="0" w:color="auto"/>
              <w:right w:val="single" w:sz="4" w:space="0" w:color="auto"/>
            </w:tcBorders>
            <w:shd w:val="clear" w:color="auto" w:fill="FFFFCC"/>
            <w:noWrap/>
            <w:vAlign w:val="bottom"/>
            <w:hideMark/>
          </w:tcPr>
          <w:p w:rsidR="000F7074" w:rsidRPr="00530B4F" w:rsidRDefault="000F7074" w:rsidP="002266BD">
            <w:pPr>
              <w:spacing w:after="0" w:line="240" w:lineRule="auto"/>
              <w:jc w:val="both"/>
              <w:rPr>
                <w:rFonts w:ascii="Calibri" w:eastAsia="Times New Roman" w:hAnsi="Calibri" w:cs="Calibri"/>
                <w:color w:val="000000"/>
                <w:sz w:val="22"/>
                <w:szCs w:val="22"/>
                <w:lang w:val="en-US" w:eastAsia="mk-MK"/>
              </w:rPr>
            </w:pPr>
            <w:r>
              <w:rPr>
                <w:rFonts w:ascii="Calibri" w:eastAsia="Times New Roman" w:hAnsi="Calibri" w:cs="Calibri"/>
                <w:color w:val="000000"/>
                <w:sz w:val="22"/>
                <w:szCs w:val="22"/>
                <w:lang w:val="en-US" w:eastAsia="mk-MK"/>
              </w:rPr>
              <w:t>236.625.200</w:t>
            </w:r>
          </w:p>
        </w:tc>
        <w:tc>
          <w:tcPr>
            <w:tcW w:w="1331" w:type="dxa"/>
            <w:tcBorders>
              <w:top w:val="nil"/>
              <w:left w:val="nil"/>
              <w:bottom w:val="single" w:sz="4" w:space="0" w:color="auto"/>
              <w:right w:val="single" w:sz="4" w:space="0" w:color="auto"/>
            </w:tcBorders>
            <w:shd w:val="clear" w:color="auto" w:fill="FFFFCC"/>
            <w:noWrap/>
            <w:vAlign w:val="bottom"/>
            <w:hideMark/>
          </w:tcPr>
          <w:p w:rsidR="000F7074" w:rsidRPr="00530B4F" w:rsidRDefault="000F7074" w:rsidP="002266BD">
            <w:pPr>
              <w:spacing w:after="0" w:line="240" w:lineRule="auto"/>
              <w:jc w:val="both"/>
              <w:rPr>
                <w:rFonts w:ascii="Calibri" w:eastAsia="Times New Roman" w:hAnsi="Calibri" w:cs="Calibri"/>
                <w:color w:val="000000"/>
                <w:sz w:val="22"/>
                <w:szCs w:val="22"/>
                <w:lang w:val="en-US" w:eastAsia="mk-MK"/>
              </w:rPr>
            </w:pPr>
            <w:r>
              <w:rPr>
                <w:rFonts w:ascii="Calibri" w:eastAsia="Times New Roman" w:hAnsi="Calibri" w:cs="Calibri"/>
                <w:color w:val="000000"/>
                <w:sz w:val="22"/>
                <w:szCs w:val="22"/>
                <w:lang w:val="en-US" w:eastAsia="mk-MK"/>
              </w:rPr>
              <w:t>999.608.053</w:t>
            </w:r>
          </w:p>
        </w:tc>
        <w:tc>
          <w:tcPr>
            <w:tcW w:w="1331" w:type="dxa"/>
            <w:tcBorders>
              <w:top w:val="nil"/>
              <w:left w:val="nil"/>
              <w:bottom w:val="single" w:sz="4" w:space="0" w:color="auto"/>
              <w:right w:val="single" w:sz="4" w:space="0" w:color="auto"/>
            </w:tcBorders>
            <w:shd w:val="clear" w:color="auto" w:fill="FFFFCC"/>
            <w:noWrap/>
            <w:vAlign w:val="bottom"/>
          </w:tcPr>
          <w:p w:rsidR="000F7074" w:rsidRPr="00530B4F" w:rsidRDefault="000F7074" w:rsidP="002266BD">
            <w:pPr>
              <w:spacing w:after="0" w:line="240" w:lineRule="auto"/>
              <w:jc w:val="both"/>
              <w:rPr>
                <w:rFonts w:ascii="Calibri" w:eastAsia="Times New Roman" w:hAnsi="Calibri" w:cs="Calibri"/>
                <w:color w:val="000000"/>
                <w:sz w:val="22"/>
                <w:szCs w:val="22"/>
                <w:lang w:val="en-US" w:eastAsia="mk-MK"/>
              </w:rPr>
            </w:pPr>
            <w:r>
              <w:rPr>
                <w:rFonts w:ascii="Calibri" w:eastAsia="Times New Roman" w:hAnsi="Calibri" w:cs="Calibri"/>
                <w:color w:val="000000"/>
                <w:sz w:val="22"/>
                <w:szCs w:val="22"/>
                <w:lang w:val="en-US" w:eastAsia="mk-MK"/>
              </w:rPr>
              <w:t>619.290.031</w:t>
            </w:r>
          </w:p>
        </w:tc>
        <w:tc>
          <w:tcPr>
            <w:tcW w:w="1508" w:type="dxa"/>
            <w:tcBorders>
              <w:top w:val="nil"/>
              <w:left w:val="nil"/>
              <w:bottom w:val="single" w:sz="4" w:space="0" w:color="auto"/>
              <w:right w:val="single" w:sz="4" w:space="0" w:color="auto"/>
            </w:tcBorders>
            <w:shd w:val="clear" w:color="auto" w:fill="FFFFCC"/>
            <w:noWrap/>
            <w:vAlign w:val="bottom"/>
            <w:hideMark/>
          </w:tcPr>
          <w:p w:rsidR="000F7074" w:rsidRPr="00530B4F" w:rsidRDefault="000F7074" w:rsidP="002266BD">
            <w:pPr>
              <w:spacing w:after="0" w:line="240" w:lineRule="auto"/>
              <w:jc w:val="both"/>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4.503.923.310</w:t>
            </w:r>
          </w:p>
        </w:tc>
      </w:tr>
    </w:tbl>
    <w:p w:rsidR="00601530" w:rsidRDefault="00445C88" w:rsidP="00445C88">
      <w:pPr>
        <w:spacing w:after="0" w:line="240" w:lineRule="auto"/>
        <w:ind w:firstLine="720"/>
        <w:jc w:val="both"/>
        <w:rPr>
          <w:rFonts w:ascii="Times New Roman" w:hAnsi="Times New Roman" w:cs="Times New Roman"/>
          <w:lang w:val="en-US"/>
        </w:rPr>
      </w:pPr>
      <w:r>
        <w:rPr>
          <w:rFonts w:ascii="Times New Roman" w:hAnsi="Times New Roman" w:cs="Times New Roman"/>
          <w:lang w:val="en-US"/>
        </w:rPr>
        <w:t xml:space="preserve">Source: </w:t>
      </w:r>
      <w:hyperlink r:id="rId11" w:history="1">
        <w:r w:rsidRPr="00457651">
          <w:rPr>
            <w:rStyle w:val="Hyperlink"/>
            <w:rFonts w:ascii="Times New Roman" w:hAnsi="Times New Roman" w:cs="Times New Roman"/>
            <w:lang w:val="en-US"/>
          </w:rPr>
          <w:t>http://ec.europa.eu/enlargement/potential-candidates/index_en.htm</w:t>
        </w:r>
      </w:hyperlink>
    </w:p>
    <w:p w:rsidR="00445C88" w:rsidRDefault="002F0F0E" w:rsidP="002F0F0E">
      <w:pPr>
        <w:spacing w:after="0" w:line="240" w:lineRule="auto"/>
        <w:ind w:left="720" w:firstLine="720"/>
        <w:jc w:val="both"/>
        <w:rPr>
          <w:rFonts w:ascii="Times New Roman" w:hAnsi="Times New Roman" w:cs="Times New Roman"/>
          <w:lang w:val="en-US"/>
        </w:rPr>
      </w:pPr>
      <w:r>
        <w:rPr>
          <w:lang w:val="en-US"/>
        </w:rPr>
        <w:t xml:space="preserve"> </w:t>
      </w:r>
      <w:hyperlink r:id="rId12" w:history="1">
        <w:r w:rsidR="00445C88" w:rsidRPr="00457651">
          <w:rPr>
            <w:rStyle w:val="Hyperlink"/>
            <w:rFonts w:ascii="Times New Roman" w:hAnsi="Times New Roman" w:cs="Times New Roman"/>
            <w:lang w:val="en-US"/>
          </w:rPr>
          <w:t>http://ec.europa.eu/enlargement/candidate-countries/index_en.htm</w:t>
        </w:r>
      </w:hyperlink>
    </w:p>
    <w:p w:rsidR="00445C88" w:rsidRDefault="00445C88" w:rsidP="00A51B8B">
      <w:pPr>
        <w:spacing w:line="240" w:lineRule="auto"/>
        <w:ind w:firstLine="720"/>
        <w:jc w:val="both"/>
        <w:rPr>
          <w:rFonts w:ascii="Times New Roman" w:hAnsi="Times New Roman" w:cs="Times New Roman"/>
          <w:lang w:val="en-US"/>
        </w:rPr>
      </w:pPr>
    </w:p>
    <w:p w:rsidR="007F2954" w:rsidRDefault="00015220" w:rsidP="00015220">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Since 1991 the European Union has been the largest donor to the </w:t>
      </w:r>
      <w:r w:rsidRPr="00015220">
        <w:rPr>
          <w:rFonts w:ascii="Times New Roman" w:hAnsi="Times New Roman" w:cs="Times New Roman"/>
          <w:lang w:val="en-US"/>
        </w:rPr>
        <w:t>Western Balkans</w:t>
      </w:r>
      <w:r>
        <w:rPr>
          <w:rFonts w:ascii="Times New Roman" w:hAnsi="Times New Roman" w:cs="Times New Roman"/>
          <w:lang w:val="en-US"/>
        </w:rPr>
        <w:t xml:space="preserve"> countries, having provided more than €20 billion including humanitarian and bilateral assistance.</w:t>
      </w:r>
    </w:p>
    <w:p w:rsidR="0063566E" w:rsidRPr="0063566E" w:rsidRDefault="0063566E" w:rsidP="00015220">
      <w:pPr>
        <w:spacing w:line="240" w:lineRule="auto"/>
        <w:ind w:firstLine="720"/>
        <w:jc w:val="both"/>
        <w:rPr>
          <w:rFonts w:ascii="Times New Roman" w:hAnsi="Times New Roman" w:cs="Times New Roman"/>
          <w:b/>
          <w:lang w:val="en-US"/>
        </w:rPr>
      </w:pPr>
      <w:r w:rsidRPr="0063566E">
        <w:rPr>
          <w:rFonts w:ascii="Times New Roman" w:hAnsi="Times New Roman" w:cs="Times New Roman"/>
          <w:b/>
          <w:lang w:val="en-US"/>
        </w:rPr>
        <w:t>Financial assistance to Albania</w:t>
      </w:r>
    </w:p>
    <w:p w:rsidR="00015220" w:rsidRDefault="00015220" w:rsidP="00015220">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The </w:t>
      </w:r>
      <w:r w:rsidRPr="00015220">
        <w:rPr>
          <w:rFonts w:ascii="Times New Roman" w:hAnsi="Times New Roman" w:cs="Times New Roman"/>
          <w:lang w:val="en-US"/>
        </w:rPr>
        <w:t>European Union</w:t>
      </w:r>
      <w:r>
        <w:rPr>
          <w:rFonts w:ascii="Times New Roman" w:hAnsi="Times New Roman" w:cs="Times New Roman"/>
          <w:lang w:val="en-US"/>
        </w:rPr>
        <w:t>, in the last few decades, has been particularly interested in providing support to countries which are potential candidates such as Albania.</w:t>
      </w:r>
    </w:p>
    <w:p w:rsidR="00015220" w:rsidRDefault="00015220" w:rsidP="00015220">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In the past, until 2007, the </w:t>
      </w:r>
      <w:r w:rsidRPr="00015220">
        <w:rPr>
          <w:rFonts w:ascii="Times New Roman" w:hAnsi="Times New Roman" w:cs="Times New Roman"/>
          <w:lang w:val="en-US"/>
        </w:rPr>
        <w:t>European Union</w:t>
      </w:r>
      <w:r>
        <w:rPr>
          <w:rFonts w:ascii="Times New Roman" w:hAnsi="Times New Roman" w:cs="Times New Roman"/>
          <w:lang w:val="en-US"/>
        </w:rPr>
        <w:t xml:space="preserve"> supported Albania through various instruments like ECHO – Humanitarian Aid </w:t>
      </w:r>
      <w:proofErr w:type="spellStart"/>
      <w:r>
        <w:rPr>
          <w:rFonts w:ascii="Times New Roman" w:hAnsi="Times New Roman" w:cs="Times New Roman"/>
          <w:lang w:val="en-US"/>
        </w:rPr>
        <w:t>Programme</w:t>
      </w:r>
      <w:proofErr w:type="spellEnd"/>
      <w:r>
        <w:rPr>
          <w:rFonts w:ascii="Times New Roman" w:hAnsi="Times New Roman" w:cs="Times New Roman"/>
          <w:lang w:val="en-US"/>
        </w:rPr>
        <w:t>, PHARE and CARDS.</w:t>
      </w:r>
    </w:p>
    <w:p w:rsidR="00213570" w:rsidRPr="00015220" w:rsidRDefault="00517603" w:rsidP="00015220">
      <w:pPr>
        <w:spacing w:line="240" w:lineRule="auto"/>
        <w:ind w:firstLine="720"/>
        <w:jc w:val="both"/>
        <w:rPr>
          <w:rFonts w:ascii="Times New Roman" w:hAnsi="Times New Roman" w:cs="Times New Roman"/>
          <w:lang w:val="en-US"/>
        </w:rPr>
      </w:pPr>
      <w:r>
        <w:rPr>
          <w:rFonts w:ascii="Times New Roman" w:hAnsi="Times New Roman" w:cs="Times New Roman"/>
          <w:lang w:val="en-US"/>
        </w:rPr>
        <w:t xml:space="preserve">According to CARDS annual action </w:t>
      </w:r>
      <w:proofErr w:type="spellStart"/>
      <w:r>
        <w:rPr>
          <w:rFonts w:ascii="Times New Roman" w:hAnsi="Times New Roman" w:cs="Times New Roman"/>
          <w:lang w:val="en-US"/>
        </w:rPr>
        <w:t>programmes</w:t>
      </w:r>
      <w:proofErr w:type="spellEnd"/>
      <w:r>
        <w:rPr>
          <w:rFonts w:ascii="Times New Roman" w:hAnsi="Times New Roman" w:cs="Times New Roman"/>
          <w:lang w:val="en-US"/>
        </w:rPr>
        <w:t xml:space="preserve"> about €236 million was available to Albania</w:t>
      </w:r>
      <w:r w:rsidR="00213570" w:rsidRPr="00213570">
        <w:rPr>
          <w:rFonts w:ascii="Times New Roman" w:hAnsi="Times New Roman" w:cs="Times New Roman"/>
          <w:lang w:val="en-US"/>
        </w:rPr>
        <w:t>.</w:t>
      </w:r>
    </w:p>
    <w:p w:rsidR="00015220" w:rsidRDefault="000B40B2" w:rsidP="00EB4024">
      <w:pPr>
        <w:spacing w:line="240" w:lineRule="auto"/>
        <w:ind w:firstLine="720"/>
        <w:jc w:val="both"/>
        <w:rPr>
          <w:rFonts w:ascii="Times New Roman" w:hAnsi="Times New Roman" w:cs="Times New Roman"/>
          <w:lang w:val="en-US"/>
        </w:rPr>
      </w:pPr>
      <w:r>
        <w:rPr>
          <w:rFonts w:ascii="Times New Roman" w:hAnsi="Times New Roman" w:cs="Times New Roman"/>
          <w:lang w:val="en-US"/>
        </w:rPr>
        <w:t>Table</w:t>
      </w:r>
      <w:r w:rsidR="00015220">
        <w:rPr>
          <w:rFonts w:ascii="Times New Roman" w:hAnsi="Times New Roman" w:cs="Times New Roman"/>
          <w:lang w:val="en-US"/>
        </w:rPr>
        <w:t>4</w:t>
      </w:r>
      <w:r w:rsidR="00015220" w:rsidRPr="00015220">
        <w:rPr>
          <w:rFonts w:ascii="Times New Roman" w:hAnsi="Times New Roman" w:cs="Times New Roman"/>
          <w:lang w:val="en-US"/>
        </w:rPr>
        <w:t xml:space="preserve">. </w:t>
      </w:r>
      <w:r w:rsidR="00213570" w:rsidRPr="00213570">
        <w:rPr>
          <w:rFonts w:ascii="Times New Roman" w:hAnsi="Times New Roman" w:cs="Times New Roman"/>
          <w:lang w:val="en-US"/>
        </w:rPr>
        <w:t xml:space="preserve">CARDS annual action </w:t>
      </w:r>
      <w:proofErr w:type="spellStart"/>
      <w:r w:rsidR="00213570" w:rsidRPr="00213570">
        <w:rPr>
          <w:rFonts w:ascii="Times New Roman" w:hAnsi="Times New Roman" w:cs="Times New Roman"/>
          <w:lang w:val="en-US"/>
        </w:rPr>
        <w:t>program</w:t>
      </w:r>
      <w:r w:rsidR="004E1259">
        <w:rPr>
          <w:rFonts w:ascii="Times New Roman" w:hAnsi="Times New Roman" w:cs="Times New Roman"/>
          <w:lang w:val="en-US"/>
        </w:rPr>
        <w:t>mes</w:t>
      </w:r>
      <w:proofErr w:type="spellEnd"/>
      <w:r w:rsidR="004E1259">
        <w:rPr>
          <w:rFonts w:ascii="Times New Roman" w:hAnsi="Times New Roman" w:cs="Times New Roman"/>
          <w:lang w:val="en-US"/>
        </w:rPr>
        <w:t xml:space="preserve"> for</w:t>
      </w:r>
      <w:r w:rsidR="00213570" w:rsidRPr="00213570">
        <w:rPr>
          <w:rFonts w:ascii="Times New Roman" w:hAnsi="Times New Roman" w:cs="Times New Roman"/>
          <w:lang w:val="en-US"/>
        </w:rPr>
        <w:t xml:space="preserve"> Albania</w:t>
      </w:r>
      <w:r w:rsidR="00145897">
        <w:rPr>
          <w:rFonts w:ascii="Times New Roman" w:hAnsi="Times New Roman" w:cs="Times New Roman"/>
          <w:lang w:val="en-US"/>
        </w:rPr>
        <w:t>, million euros</w:t>
      </w:r>
      <w:r w:rsidR="00445C88">
        <w:rPr>
          <w:rStyle w:val="FootnoteReference"/>
          <w:rFonts w:ascii="Times New Roman" w:hAnsi="Times New Roman" w:cs="Times New Roman"/>
          <w:lang w:val="en-US"/>
        </w:rPr>
        <w:footnoteReference w:id="4"/>
      </w:r>
    </w:p>
    <w:tbl>
      <w:tblPr>
        <w:tblW w:w="7520" w:type="dxa"/>
        <w:tblInd w:w="93" w:type="dxa"/>
        <w:tblLook w:val="04A0" w:firstRow="1" w:lastRow="0" w:firstColumn="1" w:lastColumn="0" w:noHBand="0" w:noVBand="1"/>
      </w:tblPr>
      <w:tblGrid>
        <w:gridCol w:w="5969"/>
        <w:gridCol w:w="1551"/>
      </w:tblGrid>
      <w:tr w:rsidR="00213570" w:rsidRPr="00213570" w:rsidTr="00910A64">
        <w:trPr>
          <w:trHeight w:val="300"/>
        </w:trPr>
        <w:tc>
          <w:tcPr>
            <w:tcW w:w="5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13570" w:rsidRPr="00213570" w:rsidRDefault="00213570" w:rsidP="00213570">
            <w:pPr>
              <w:spacing w:after="0" w:line="240" w:lineRule="auto"/>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 xml:space="preserve">Annual </w:t>
            </w:r>
            <w:proofErr w:type="spellStart"/>
            <w:r>
              <w:rPr>
                <w:rFonts w:ascii="Calibri" w:eastAsia="Times New Roman" w:hAnsi="Calibri" w:cs="Calibri"/>
                <w:b/>
                <w:bCs/>
                <w:color w:val="000000"/>
                <w:sz w:val="22"/>
                <w:szCs w:val="22"/>
                <w:lang w:val="en-US" w:eastAsia="mk-MK"/>
              </w:rPr>
              <w:t>programme</w:t>
            </w:r>
            <w:proofErr w:type="spellEnd"/>
          </w:p>
        </w:tc>
        <w:tc>
          <w:tcPr>
            <w:tcW w:w="1551"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13570" w:rsidRPr="00213570" w:rsidRDefault="00213570" w:rsidP="00213570">
            <w:pPr>
              <w:spacing w:after="0" w:line="240" w:lineRule="auto"/>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t xml:space="preserve">         Total</w:t>
            </w:r>
          </w:p>
        </w:tc>
      </w:tr>
      <w:tr w:rsidR="00213570" w:rsidRPr="00213570" w:rsidTr="00910A64">
        <w:trPr>
          <w:trHeight w:val="300"/>
        </w:trPr>
        <w:tc>
          <w:tcPr>
            <w:tcW w:w="5969" w:type="dxa"/>
            <w:tcBorders>
              <w:top w:val="nil"/>
              <w:left w:val="single" w:sz="4" w:space="0" w:color="auto"/>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Annual programme 2005</w:t>
            </w:r>
          </w:p>
        </w:tc>
        <w:tc>
          <w:tcPr>
            <w:tcW w:w="1551" w:type="dxa"/>
            <w:tcBorders>
              <w:top w:val="nil"/>
              <w:left w:val="nil"/>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jc w:val="center"/>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 xml:space="preserve">44.2 </w:t>
            </w:r>
          </w:p>
        </w:tc>
      </w:tr>
      <w:tr w:rsidR="00213570" w:rsidRPr="00213570" w:rsidTr="00910A64">
        <w:trPr>
          <w:trHeight w:val="300"/>
        </w:trPr>
        <w:tc>
          <w:tcPr>
            <w:tcW w:w="5969" w:type="dxa"/>
            <w:tcBorders>
              <w:top w:val="nil"/>
              <w:left w:val="single" w:sz="4" w:space="0" w:color="auto"/>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Annual programme 2004</w:t>
            </w:r>
          </w:p>
        </w:tc>
        <w:tc>
          <w:tcPr>
            <w:tcW w:w="1551" w:type="dxa"/>
            <w:tcBorders>
              <w:top w:val="nil"/>
              <w:left w:val="nil"/>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jc w:val="center"/>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63.5</w:t>
            </w:r>
          </w:p>
        </w:tc>
      </w:tr>
      <w:tr w:rsidR="00213570" w:rsidRPr="00213570" w:rsidTr="00910A64">
        <w:trPr>
          <w:trHeight w:val="300"/>
        </w:trPr>
        <w:tc>
          <w:tcPr>
            <w:tcW w:w="5969" w:type="dxa"/>
            <w:tcBorders>
              <w:top w:val="nil"/>
              <w:left w:val="single" w:sz="4" w:space="0" w:color="auto"/>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Annual programme 2003</w:t>
            </w:r>
          </w:p>
        </w:tc>
        <w:tc>
          <w:tcPr>
            <w:tcW w:w="1551" w:type="dxa"/>
            <w:tcBorders>
              <w:top w:val="nil"/>
              <w:left w:val="nil"/>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jc w:val="center"/>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46.5</w:t>
            </w:r>
          </w:p>
        </w:tc>
      </w:tr>
      <w:tr w:rsidR="00213570" w:rsidRPr="00213570" w:rsidTr="00910A64">
        <w:trPr>
          <w:trHeight w:val="300"/>
        </w:trPr>
        <w:tc>
          <w:tcPr>
            <w:tcW w:w="5969" w:type="dxa"/>
            <w:tcBorders>
              <w:top w:val="nil"/>
              <w:left w:val="single" w:sz="4" w:space="0" w:color="auto"/>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Annual programme 2002</w:t>
            </w:r>
          </w:p>
        </w:tc>
        <w:tc>
          <w:tcPr>
            <w:tcW w:w="1551" w:type="dxa"/>
            <w:tcBorders>
              <w:top w:val="nil"/>
              <w:left w:val="nil"/>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jc w:val="center"/>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44.9</w:t>
            </w:r>
          </w:p>
        </w:tc>
      </w:tr>
      <w:tr w:rsidR="00213570" w:rsidRPr="00213570" w:rsidTr="00910A64">
        <w:trPr>
          <w:trHeight w:val="300"/>
        </w:trPr>
        <w:tc>
          <w:tcPr>
            <w:tcW w:w="5969" w:type="dxa"/>
            <w:tcBorders>
              <w:top w:val="nil"/>
              <w:left w:val="single" w:sz="4" w:space="0" w:color="auto"/>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Program for support of the 2001 taxation</w:t>
            </w:r>
          </w:p>
        </w:tc>
        <w:tc>
          <w:tcPr>
            <w:tcW w:w="1551" w:type="dxa"/>
            <w:tcBorders>
              <w:top w:val="nil"/>
              <w:left w:val="nil"/>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jc w:val="center"/>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2.0</w:t>
            </w:r>
          </w:p>
        </w:tc>
      </w:tr>
      <w:tr w:rsidR="00213570" w:rsidRPr="00213570" w:rsidTr="00910A64">
        <w:trPr>
          <w:trHeight w:val="300"/>
        </w:trPr>
        <w:tc>
          <w:tcPr>
            <w:tcW w:w="5969" w:type="dxa"/>
            <w:tcBorders>
              <w:top w:val="nil"/>
              <w:left w:val="single" w:sz="4" w:space="0" w:color="auto"/>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Support Program 2001</w:t>
            </w:r>
          </w:p>
        </w:tc>
        <w:tc>
          <w:tcPr>
            <w:tcW w:w="1551" w:type="dxa"/>
            <w:tcBorders>
              <w:top w:val="nil"/>
              <w:left w:val="nil"/>
              <w:bottom w:val="single" w:sz="4" w:space="0" w:color="auto"/>
              <w:right w:val="single" w:sz="4" w:space="0" w:color="auto"/>
            </w:tcBorders>
            <w:shd w:val="clear" w:color="auto" w:fill="FFFFCC"/>
            <w:noWrap/>
            <w:vAlign w:val="bottom"/>
            <w:hideMark/>
          </w:tcPr>
          <w:p w:rsidR="00213570" w:rsidRPr="00213570" w:rsidRDefault="00213570" w:rsidP="00213570">
            <w:pPr>
              <w:spacing w:after="0" w:line="240" w:lineRule="auto"/>
              <w:jc w:val="center"/>
              <w:rPr>
                <w:rFonts w:ascii="Calibri" w:eastAsia="Times New Roman" w:hAnsi="Calibri" w:cs="Calibri"/>
                <w:color w:val="000000"/>
                <w:sz w:val="22"/>
                <w:szCs w:val="22"/>
                <w:lang w:eastAsia="mk-MK"/>
              </w:rPr>
            </w:pPr>
            <w:r w:rsidRPr="00213570">
              <w:rPr>
                <w:rFonts w:ascii="Calibri" w:eastAsia="Times New Roman" w:hAnsi="Calibri" w:cs="Calibri"/>
                <w:color w:val="000000"/>
                <w:sz w:val="22"/>
                <w:szCs w:val="22"/>
                <w:lang w:eastAsia="mk-MK"/>
              </w:rPr>
              <w:t>35.5</w:t>
            </w:r>
          </w:p>
        </w:tc>
      </w:tr>
      <w:tr w:rsidR="00213570" w:rsidRPr="00213570" w:rsidTr="00910A64">
        <w:trPr>
          <w:trHeight w:val="300"/>
        </w:trPr>
        <w:tc>
          <w:tcPr>
            <w:tcW w:w="596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213570" w:rsidRPr="00213570" w:rsidRDefault="00213570" w:rsidP="00213570">
            <w:pPr>
              <w:spacing w:after="0" w:line="240" w:lineRule="auto"/>
              <w:rPr>
                <w:rFonts w:ascii="Calibri" w:eastAsia="Times New Roman" w:hAnsi="Calibri" w:cs="Calibri"/>
                <w:b/>
                <w:bCs/>
                <w:color w:val="000000"/>
                <w:sz w:val="22"/>
                <w:szCs w:val="22"/>
                <w:lang w:val="en-US" w:eastAsia="mk-MK"/>
              </w:rPr>
            </w:pPr>
            <w:r>
              <w:rPr>
                <w:rFonts w:ascii="Calibri" w:eastAsia="Times New Roman" w:hAnsi="Calibri" w:cs="Calibri"/>
                <w:b/>
                <w:bCs/>
                <w:color w:val="000000"/>
                <w:sz w:val="22"/>
                <w:szCs w:val="22"/>
                <w:lang w:val="en-US" w:eastAsia="mk-MK"/>
              </w:rPr>
              <w:lastRenderedPageBreak/>
              <w:t>Total</w:t>
            </w:r>
          </w:p>
        </w:tc>
        <w:tc>
          <w:tcPr>
            <w:tcW w:w="1551" w:type="dxa"/>
            <w:tcBorders>
              <w:top w:val="nil"/>
              <w:left w:val="nil"/>
              <w:bottom w:val="single" w:sz="4" w:space="0" w:color="auto"/>
              <w:right w:val="single" w:sz="4" w:space="0" w:color="auto"/>
            </w:tcBorders>
            <w:shd w:val="clear" w:color="auto" w:fill="BFBFBF" w:themeFill="background1" w:themeFillShade="BF"/>
            <w:noWrap/>
            <w:vAlign w:val="bottom"/>
            <w:hideMark/>
          </w:tcPr>
          <w:p w:rsidR="00213570" w:rsidRPr="00213570" w:rsidRDefault="00213570" w:rsidP="00213570">
            <w:pPr>
              <w:spacing w:after="0" w:line="240" w:lineRule="auto"/>
              <w:jc w:val="center"/>
              <w:rPr>
                <w:rFonts w:ascii="Calibri" w:eastAsia="Times New Roman" w:hAnsi="Calibri" w:cs="Calibri"/>
                <w:b/>
                <w:bCs/>
                <w:color w:val="000000"/>
                <w:sz w:val="22"/>
                <w:szCs w:val="22"/>
                <w:lang w:eastAsia="mk-MK"/>
              </w:rPr>
            </w:pPr>
            <w:r w:rsidRPr="00213570">
              <w:rPr>
                <w:rFonts w:ascii="Calibri" w:eastAsia="Times New Roman" w:hAnsi="Calibri" w:cs="Calibri"/>
                <w:b/>
                <w:bCs/>
                <w:color w:val="000000"/>
                <w:sz w:val="22"/>
                <w:szCs w:val="22"/>
                <w:lang w:eastAsia="mk-MK"/>
              </w:rPr>
              <w:t>236.6</w:t>
            </w:r>
          </w:p>
        </w:tc>
      </w:tr>
    </w:tbl>
    <w:p w:rsidR="00445C88" w:rsidRDefault="004E1259" w:rsidP="00213570">
      <w:pPr>
        <w:spacing w:line="240" w:lineRule="auto"/>
        <w:jc w:val="both"/>
        <w:rPr>
          <w:rFonts w:ascii="Times New Roman" w:hAnsi="Times New Roman" w:cs="Times New Roman"/>
          <w:lang w:val="en-US"/>
        </w:rPr>
      </w:pPr>
      <w:r>
        <w:rPr>
          <w:rFonts w:ascii="Times New Roman" w:hAnsi="Times New Roman" w:cs="Times New Roman"/>
          <w:lang w:val="en-US"/>
        </w:rPr>
        <w:t>Source</w:t>
      </w:r>
      <w:proofErr w:type="gramStart"/>
      <w:r>
        <w:rPr>
          <w:rFonts w:ascii="Times New Roman" w:hAnsi="Times New Roman" w:cs="Times New Roman"/>
          <w:lang w:val="en-US"/>
        </w:rPr>
        <w:t>:</w:t>
      </w:r>
      <w:proofErr w:type="gramEnd"/>
      <w:r w:rsidR="009903F7">
        <w:fldChar w:fldCharType="begin"/>
      </w:r>
      <w:r w:rsidR="009903F7">
        <w:instrText xml:space="preserve"> HYPERLINK "http://ec.europa.eu/enlargement/press_corner/key-documents/cards_reports_and_publications_en.htm" </w:instrText>
      </w:r>
      <w:r w:rsidR="009903F7">
        <w:fldChar w:fldCharType="separate"/>
      </w:r>
      <w:r w:rsidR="00445C88" w:rsidRPr="00457651">
        <w:rPr>
          <w:rStyle w:val="Hyperlink"/>
          <w:rFonts w:ascii="Times New Roman" w:hAnsi="Times New Roman" w:cs="Times New Roman"/>
          <w:lang w:val="en-US"/>
        </w:rPr>
        <w:t>http://ec.europa.eu/enlargement/press_corner/key-documents/cards_reports_and_publications_en.htm</w:t>
      </w:r>
      <w:r w:rsidR="009903F7">
        <w:rPr>
          <w:rStyle w:val="Hyperlink"/>
          <w:rFonts w:ascii="Times New Roman" w:hAnsi="Times New Roman" w:cs="Times New Roman"/>
          <w:lang w:val="en-US"/>
        </w:rPr>
        <w:fldChar w:fldCharType="end"/>
      </w:r>
    </w:p>
    <w:p w:rsidR="00213570" w:rsidRDefault="00EB4024" w:rsidP="00AA3CA1">
      <w:pPr>
        <w:spacing w:line="240" w:lineRule="auto"/>
        <w:ind w:firstLine="720"/>
        <w:jc w:val="both"/>
        <w:rPr>
          <w:rFonts w:ascii="Times New Roman" w:hAnsi="Times New Roman" w:cs="Times New Roman"/>
          <w:lang w:val="en-US"/>
        </w:rPr>
      </w:pPr>
      <w:r>
        <w:rPr>
          <w:rFonts w:ascii="Times New Roman" w:hAnsi="Times New Roman" w:cs="Times New Roman"/>
          <w:lang w:val="en-US"/>
        </w:rPr>
        <w:t>The IPA 2007-2013 is aimed at supporting the accession process of Albania focusing on political, institutional and economic transition.</w:t>
      </w:r>
    </w:p>
    <w:p w:rsidR="00EB4024" w:rsidRDefault="000B40B2" w:rsidP="00EB4024">
      <w:pPr>
        <w:spacing w:line="240" w:lineRule="auto"/>
        <w:ind w:firstLine="720"/>
        <w:jc w:val="both"/>
        <w:rPr>
          <w:rFonts w:ascii="Times New Roman" w:hAnsi="Times New Roman" w:cs="Times New Roman"/>
          <w:lang w:val="en-US"/>
        </w:rPr>
      </w:pPr>
      <w:r>
        <w:rPr>
          <w:rFonts w:ascii="Times New Roman" w:hAnsi="Times New Roman" w:cs="Times New Roman"/>
          <w:lang w:val="en-US"/>
        </w:rPr>
        <w:t>Table</w:t>
      </w:r>
      <w:r w:rsidR="00EB4024">
        <w:rPr>
          <w:rFonts w:ascii="Times New Roman" w:hAnsi="Times New Roman" w:cs="Times New Roman"/>
          <w:lang w:val="en-US"/>
        </w:rPr>
        <w:t>5. Albania – Financial assistance 2007-2013</w:t>
      </w:r>
      <w:r w:rsidR="00AA3CA1">
        <w:rPr>
          <w:rFonts w:ascii="Times New Roman" w:hAnsi="Times New Roman" w:cs="Times New Roman"/>
          <w:lang w:val="en-US"/>
        </w:rPr>
        <w:t>, million euros</w:t>
      </w:r>
      <w:r w:rsidR="007C6C38">
        <w:rPr>
          <w:rStyle w:val="FootnoteReference"/>
          <w:rFonts w:ascii="Times New Roman" w:hAnsi="Times New Roman" w:cs="Times New Roman"/>
          <w:lang w:val="en-US"/>
        </w:rPr>
        <w:footnoteReference w:id="5"/>
      </w:r>
    </w:p>
    <w:p w:rsidR="00255BC2" w:rsidRDefault="00FA547E" w:rsidP="00255BC2">
      <w:pPr>
        <w:spacing w:line="240" w:lineRule="auto"/>
        <w:jc w:val="both"/>
        <w:rPr>
          <w:rFonts w:ascii="Times New Roman" w:hAnsi="Times New Roman" w:cs="Times New Roman"/>
          <w:lang w:val="en-US"/>
        </w:rPr>
      </w:pPr>
      <w:r w:rsidRPr="00FA547E">
        <w:rPr>
          <w:noProof/>
          <w:lang w:eastAsia="mk-MK"/>
        </w:rPr>
        <w:drawing>
          <wp:inline distT="0" distB="0" distL="0" distR="0" wp14:anchorId="35DDBDBB" wp14:editId="16C47EE3">
            <wp:extent cx="5731510" cy="830534"/>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830534"/>
                    </a:xfrm>
                    <a:prstGeom prst="rect">
                      <a:avLst/>
                    </a:prstGeom>
                    <a:noFill/>
                    <a:ln>
                      <a:noFill/>
                    </a:ln>
                  </pic:spPr>
                </pic:pic>
              </a:graphicData>
            </a:graphic>
          </wp:inline>
        </w:drawing>
      </w:r>
    </w:p>
    <w:p w:rsidR="00255BC2" w:rsidRPr="00AA3CA1" w:rsidRDefault="00445C88" w:rsidP="00255BC2">
      <w:pPr>
        <w:spacing w:line="240" w:lineRule="auto"/>
        <w:jc w:val="both"/>
        <w:rPr>
          <w:rFonts w:ascii="Times New Roman" w:hAnsi="Times New Roman" w:cs="Times New Roman"/>
          <w:lang w:val="en-US"/>
        </w:rPr>
      </w:pPr>
      <w:r>
        <w:rPr>
          <w:rFonts w:ascii="Times New Roman" w:hAnsi="Times New Roman" w:cs="Times New Roman"/>
          <w:lang w:val="en-US"/>
        </w:rPr>
        <w:t>Source</w:t>
      </w:r>
      <w:proofErr w:type="gramStart"/>
      <w:r>
        <w:rPr>
          <w:rFonts w:ascii="Times New Roman" w:hAnsi="Times New Roman" w:cs="Times New Roman"/>
          <w:lang w:val="en-US"/>
        </w:rPr>
        <w:t>:</w:t>
      </w:r>
      <w:proofErr w:type="gramEnd"/>
      <w:r w:rsidR="009C1447">
        <w:fldChar w:fldCharType="begin"/>
      </w:r>
      <w:r w:rsidR="009C1447">
        <w:instrText xml:space="preserve"> HYPERLINK "http://ec.europa.eu/enlargement/potential-candidates/albania/financial-assistance/index_en.htm" </w:instrText>
      </w:r>
      <w:r w:rsidR="009C1447">
        <w:fldChar w:fldCharType="separate"/>
      </w:r>
      <w:r w:rsidR="007C6C38" w:rsidRPr="00457651">
        <w:rPr>
          <w:rStyle w:val="Hyperlink"/>
          <w:rFonts w:ascii="Times New Roman" w:hAnsi="Times New Roman" w:cs="Times New Roman"/>
          <w:lang w:val="en-US"/>
        </w:rPr>
        <w:t>http://ec.europa.eu/enlargement/potential-candidates/albania/financial-assistance/index_en.htm</w:t>
      </w:r>
      <w:r w:rsidR="009C1447">
        <w:rPr>
          <w:rStyle w:val="Hyperlink"/>
          <w:rFonts w:ascii="Times New Roman" w:hAnsi="Times New Roman" w:cs="Times New Roman"/>
          <w:lang w:val="en-US"/>
        </w:rPr>
        <w:fldChar w:fldCharType="end"/>
      </w:r>
    </w:p>
    <w:p w:rsidR="00255BC2" w:rsidRDefault="00EC1969" w:rsidP="00AA3CA1">
      <w:pPr>
        <w:spacing w:line="240" w:lineRule="auto"/>
        <w:ind w:firstLine="720"/>
        <w:jc w:val="both"/>
        <w:rPr>
          <w:rFonts w:ascii="Times New Roman" w:hAnsi="Times New Roman" w:cs="Times New Roman"/>
          <w:lang w:val="en-US"/>
        </w:rPr>
      </w:pPr>
      <w:r w:rsidRPr="00EC1969">
        <w:rPr>
          <w:rFonts w:ascii="Times New Roman" w:hAnsi="Times New Roman" w:cs="Times New Roman"/>
          <w:lang w:val="en-US"/>
        </w:rPr>
        <w:t>European Union</w:t>
      </w:r>
      <w:r>
        <w:rPr>
          <w:rFonts w:ascii="Times New Roman" w:hAnsi="Times New Roman" w:cs="Times New Roman"/>
          <w:lang w:val="en-US"/>
        </w:rPr>
        <w:t xml:space="preserve"> assistance has been delivered within four priority areas: public administration, justice and home affairs, economic development, environment and infrastructure.</w:t>
      </w:r>
    </w:p>
    <w:p w:rsidR="00EC1969" w:rsidRDefault="00EC1969" w:rsidP="00EC1969">
      <w:pPr>
        <w:spacing w:line="240" w:lineRule="auto"/>
        <w:ind w:firstLine="720"/>
        <w:jc w:val="both"/>
        <w:rPr>
          <w:rFonts w:ascii="Times New Roman" w:hAnsi="Times New Roman" w:cs="Times New Roman"/>
          <w:lang w:val="en-US"/>
        </w:rPr>
      </w:pPr>
      <w:r>
        <w:rPr>
          <w:rFonts w:ascii="Times New Roman" w:hAnsi="Times New Roman" w:cs="Times New Roman"/>
          <w:lang w:val="en-US"/>
        </w:rPr>
        <w:t>The assistance in public administration has resulted in supporting the institutions that are directly concerned by the reforms. Several projects aimed at capacity building of institutions are valu</w:t>
      </w:r>
      <w:r w:rsidR="0036197D">
        <w:rPr>
          <w:rFonts w:ascii="Times New Roman" w:hAnsi="Times New Roman" w:cs="Times New Roman"/>
          <w:lang w:val="en-US"/>
        </w:rPr>
        <w:t>ed at more than €2.5 million</w:t>
      </w:r>
      <w:r>
        <w:rPr>
          <w:rFonts w:ascii="Times New Roman" w:hAnsi="Times New Roman" w:cs="Times New Roman"/>
          <w:lang w:val="en-US"/>
        </w:rPr>
        <w:t>.</w:t>
      </w:r>
    </w:p>
    <w:p w:rsidR="00EC1969" w:rsidRDefault="00EC1969" w:rsidP="00EC1969">
      <w:pPr>
        <w:spacing w:line="240" w:lineRule="auto"/>
        <w:ind w:firstLine="720"/>
        <w:jc w:val="both"/>
        <w:rPr>
          <w:rFonts w:ascii="Times New Roman" w:hAnsi="Times New Roman" w:cs="Times New Roman"/>
          <w:lang w:val="en-US"/>
        </w:rPr>
      </w:pPr>
      <w:r>
        <w:rPr>
          <w:rFonts w:ascii="Times New Roman" w:hAnsi="Times New Roman" w:cs="Times New Roman"/>
          <w:lang w:val="en-US"/>
        </w:rPr>
        <w:t>In the field of Justice and home affairs, EU assistance contributes to strengthening the judiciary capacities and structures and the police reform</w:t>
      </w:r>
      <w:r w:rsidR="0036197D">
        <w:rPr>
          <w:rFonts w:ascii="Times New Roman" w:hAnsi="Times New Roman" w:cs="Times New Roman"/>
          <w:lang w:val="en-US"/>
        </w:rPr>
        <w:t xml:space="preserve"> process. With €5.5 million</w:t>
      </w:r>
      <w:r>
        <w:rPr>
          <w:rFonts w:ascii="Times New Roman" w:hAnsi="Times New Roman" w:cs="Times New Roman"/>
          <w:lang w:val="en-US"/>
        </w:rPr>
        <w:t xml:space="preserve"> of EU financial assistance aims to improve the functioning of the police, 4.4 million to support the management of Albanian marit</w:t>
      </w:r>
      <w:r w:rsidR="0036197D">
        <w:rPr>
          <w:rFonts w:ascii="Times New Roman" w:hAnsi="Times New Roman" w:cs="Times New Roman"/>
          <w:lang w:val="en-US"/>
        </w:rPr>
        <w:t>ime border, and €10 million</w:t>
      </w:r>
      <w:r>
        <w:rPr>
          <w:rFonts w:ascii="Times New Roman" w:hAnsi="Times New Roman" w:cs="Times New Roman"/>
          <w:lang w:val="en-US"/>
        </w:rPr>
        <w:t xml:space="preserve"> have been invested on finalizing several detention prison facilities.</w:t>
      </w:r>
    </w:p>
    <w:p w:rsidR="00EC1969" w:rsidRDefault="00EC1969" w:rsidP="00325D02">
      <w:pPr>
        <w:spacing w:line="240" w:lineRule="auto"/>
        <w:ind w:firstLine="720"/>
        <w:jc w:val="both"/>
        <w:rPr>
          <w:rFonts w:ascii="Times New Roman" w:hAnsi="Times New Roman" w:cs="Times New Roman"/>
          <w:lang w:val="en-US"/>
        </w:rPr>
      </w:pPr>
      <w:r>
        <w:rPr>
          <w:rFonts w:ascii="Times New Roman" w:hAnsi="Times New Roman" w:cs="Times New Roman"/>
          <w:lang w:val="en-US"/>
        </w:rPr>
        <w:t>The assistance in the area of economic development is focused on maintaining steady growth and increased competitiveness especially in the private sector.</w:t>
      </w:r>
      <w:r w:rsidR="00325D02">
        <w:rPr>
          <w:rFonts w:ascii="Times New Roman" w:hAnsi="Times New Roman" w:cs="Times New Roman"/>
          <w:lang w:val="en-US"/>
        </w:rPr>
        <w:t xml:space="preserve"> </w:t>
      </w:r>
      <w:r w:rsidR="0036197D">
        <w:rPr>
          <w:rFonts w:ascii="Times New Roman" w:hAnsi="Times New Roman" w:cs="Times New Roman"/>
          <w:lang w:val="en-US"/>
        </w:rPr>
        <w:t>About €3.4 million</w:t>
      </w:r>
      <w:r>
        <w:rPr>
          <w:rFonts w:ascii="Times New Roman" w:hAnsi="Times New Roman" w:cs="Times New Roman"/>
          <w:lang w:val="en-US"/>
        </w:rPr>
        <w:t xml:space="preserve"> have been spent to enable Albania</w:t>
      </w:r>
      <w:r w:rsidR="00E826AC">
        <w:rPr>
          <w:rFonts w:ascii="Times New Roman" w:hAnsi="Times New Roman" w:cs="Times New Roman"/>
          <w:lang w:val="en-US"/>
        </w:rPr>
        <w:t>’</w:t>
      </w:r>
      <w:r>
        <w:rPr>
          <w:rFonts w:ascii="Times New Roman" w:hAnsi="Times New Roman" w:cs="Times New Roman"/>
          <w:lang w:val="en-US"/>
        </w:rPr>
        <w:t xml:space="preserve">s </w:t>
      </w:r>
      <w:r w:rsidR="00E826AC">
        <w:rPr>
          <w:rFonts w:ascii="Times New Roman" w:hAnsi="Times New Roman" w:cs="Times New Roman"/>
          <w:lang w:val="en-US"/>
        </w:rPr>
        <w:t>development policy for small and medium enterprises.</w:t>
      </w:r>
    </w:p>
    <w:p w:rsidR="00E826AC" w:rsidRDefault="00E826AC" w:rsidP="00EC1969">
      <w:pPr>
        <w:spacing w:line="240" w:lineRule="auto"/>
        <w:ind w:firstLine="720"/>
        <w:jc w:val="both"/>
        <w:rPr>
          <w:rFonts w:ascii="Times New Roman" w:hAnsi="Times New Roman" w:cs="Times New Roman"/>
          <w:lang w:val="en-US"/>
        </w:rPr>
      </w:pPr>
      <w:r>
        <w:rPr>
          <w:rFonts w:ascii="Times New Roman" w:hAnsi="Times New Roman" w:cs="Times New Roman"/>
          <w:lang w:val="en-US"/>
        </w:rPr>
        <w:t>EU support in the area of environment and infrastructure has resulted in improved water supply and sewage systems as well as upgraded road infrastructure and border crossing.</w:t>
      </w:r>
    </w:p>
    <w:p w:rsidR="00E826AC" w:rsidRDefault="00E826AC" w:rsidP="00EC1969">
      <w:pPr>
        <w:spacing w:line="240" w:lineRule="auto"/>
        <w:ind w:firstLine="720"/>
        <w:jc w:val="both"/>
        <w:rPr>
          <w:rFonts w:ascii="Times New Roman" w:hAnsi="Times New Roman" w:cs="Times New Roman"/>
          <w:lang w:val="en-US"/>
        </w:rPr>
      </w:pPr>
      <w:r>
        <w:rPr>
          <w:rFonts w:ascii="Times New Roman" w:hAnsi="Times New Roman" w:cs="Times New Roman"/>
          <w:lang w:val="en-US"/>
        </w:rPr>
        <w:t>The planned projec</w:t>
      </w:r>
      <w:r w:rsidR="00712823">
        <w:rPr>
          <w:rFonts w:ascii="Times New Roman" w:hAnsi="Times New Roman" w:cs="Times New Roman"/>
          <w:lang w:val="en-US"/>
        </w:rPr>
        <w:t>ts</w:t>
      </w:r>
      <w:r>
        <w:rPr>
          <w:rFonts w:ascii="Times New Roman" w:hAnsi="Times New Roman" w:cs="Times New Roman"/>
          <w:lang w:val="en-US"/>
        </w:rPr>
        <w:t xml:space="preserve"> for the period from 2007-2013 are aimed to support the improvement of the infrastructure and environment , reforms in the police and judiciary, reforms in public administration, support of the development of human resources.</w:t>
      </w:r>
    </w:p>
    <w:p w:rsidR="002627F3" w:rsidRDefault="00325D02" w:rsidP="00213570">
      <w:pPr>
        <w:spacing w:line="240" w:lineRule="auto"/>
        <w:jc w:val="both"/>
        <w:rPr>
          <w:rFonts w:ascii="Times New Roman" w:hAnsi="Times New Roman" w:cs="Times New Roman"/>
          <w:lang w:val="en-US"/>
        </w:rPr>
      </w:pPr>
      <w:r>
        <w:rPr>
          <w:rFonts w:ascii="Times New Roman" w:hAnsi="Times New Roman" w:cs="Times New Roman"/>
          <w:lang w:val="en-US"/>
        </w:rPr>
        <w:tab/>
      </w:r>
      <w:r w:rsidR="002627F3">
        <w:rPr>
          <w:rFonts w:ascii="Times New Roman" w:hAnsi="Times New Roman" w:cs="Times New Roman"/>
          <w:lang w:val="en-US"/>
        </w:rPr>
        <w:t>The most important projects are:</w:t>
      </w:r>
    </w:p>
    <w:p w:rsidR="00213570" w:rsidRDefault="002627F3" w:rsidP="00213570">
      <w:pPr>
        <w:spacing w:line="240" w:lineRule="auto"/>
        <w:jc w:val="both"/>
        <w:rPr>
          <w:rFonts w:ascii="Times New Roman" w:hAnsi="Times New Roman" w:cs="Times New Roman"/>
          <w:lang w:val="en-US"/>
        </w:rPr>
      </w:pPr>
      <w:r>
        <w:rPr>
          <w:rFonts w:ascii="Times New Roman" w:hAnsi="Times New Roman" w:cs="Times New Roman"/>
          <w:lang w:val="en-US"/>
        </w:rPr>
        <w:t xml:space="preserve"> </w:t>
      </w:r>
    </w:p>
    <w:p w:rsidR="00F167DA" w:rsidRDefault="00F167DA" w:rsidP="00D53DB9">
      <w:pPr>
        <w:spacing w:line="240" w:lineRule="auto"/>
        <w:jc w:val="both"/>
        <w:rPr>
          <w:rFonts w:ascii="Times New Roman" w:hAnsi="Times New Roman" w:cs="Times New Roman"/>
          <w:b/>
          <w:lang w:val="en-US"/>
        </w:rPr>
      </w:pPr>
    </w:p>
    <w:p w:rsidR="00F167DA" w:rsidRDefault="00F167DA" w:rsidP="00D53DB9">
      <w:pPr>
        <w:spacing w:line="240" w:lineRule="auto"/>
        <w:jc w:val="both"/>
        <w:rPr>
          <w:rFonts w:ascii="Times New Roman" w:hAnsi="Times New Roman" w:cs="Times New Roman"/>
          <w:b/>
          <w:lang w:val="en-US"/>
        </w:rPr>
      </w:pPr>
    </w:p>
    <w:p w:rsidR="00F167DA" w:rsidRDefault="00F167DA" w:rsidP="00D53DB9">
      <w:pPr>
        <w:spacing w:line="240" w:lineRule="auto"/>
        <w:jc w:val="both"/>
        <w:rPr>
          <w:rFonts w:ascii="Times New Roman" w:hAnsi="Times New Roman" w:cs="Times New Roman"/>
          <w:b/>
          <w:lang w:val="en-US"/>
        </w:rPr>
      </w:pPr>
    </w:p>
    <w:tbl>
      <w:tblPr>
        <w:tblStyle w:val="TableGrid"/>
        <w:tblpPr w:leftFromText="180" w:rightFromText="180" w:tblpY="332"/>
        <w:tblW w:w="0" w:type="auto"/>
        <w:tblLayout w:type="fixed"/>
        <w:tblLook w:val="04A0" w:firstRow="1" w:lastRow="0" w:firstColumn="1" w:lastColumn="0" w:noHBand="0" w:noVBand="1"/>
      </w:tblPr>
      <w:tblGrid>
        <w:gridCol w:w="412"/>
        <w:gridCol w:w="1853"/>
        <w:gridCol w:w="845"/>
        <w:gridCol w:w="1191"/>
        <w:gridCol w:w="1257"/>
        <w:gridCol w:w="1170"/>
        <w:gridCol w:w="1177"/>
        <w:gridCol w:w="1337"/>
      </w:tblGrid>
      <w:tr w:rsidR="00CA3D03" w:rsidRPr="00BC1BE1" w:rsidTr="00CA3D03">
        <w:trPr>
          <w:trHeight w:val="900"/>
        </w:trPr>
        <w:tc>
          <w:tcPr>
            <w:tcW w:w="412" w:type="dxa"/>
            <w:shd w:val="clear" w:color="auto" w:fill="BFBFBF" w:themeFill="background1" w:themeFillShade="BF"/>
            <w:noWrap/>
            <w:hideMark/>
          </w:tcPr>
          <w:p w:rsidR="00BC1BE1" w:rsidRPr="00BC1BE1" w:rsidRDefault="00BC1BE1" w:rsidP="00BC1BE1">
            <w:pPr>
              <w:spacing w:before="100" w:beforeAutospacing="1" w:after="100" w:afterAutospacing="1"/>
            </w:pPr>
            <w:r w:rsidRPr="00BC1BE1">
              <w:lastRenderedPageBreak/>
              <w:t> </w:t>
            </w:r>
          </w:p>
        </w:tc>
        <w:tc>
          <w:tcPr>
            <w:tcW w:w="1853" w:type="dxa"/>
            <w:shd w:val="clear" w:color="auto" w:fill="BFBFBF" w:themeFill="background1" w:themeFillShade="BF"/>
            <w:noWrap/>
            <w:hideMark/>
          </w:tcPr>
          <w:p w:rsidR="00BC1BE1" w:rsidRPr="00BC1BE1" w:rsidRDefault="00BC1BE1" w:rsidP="00BC1BE1">
            <w:pPr>
              <w:spacing w:before="100" w:beforeAutospacing="1" w:after="100" w:afterAutospacing="1"/>
              <w:jc w:val="both"/>
              <w:rPr>
                <w:b/>
                <w:bCs/>
              </w:rPr>
            </w:pPr>
            <w:r w:rsidRPr="00BC1BE1">
              <w:rPr>
                <w:b/>
                <w:bCs/>
              </w:rPr>
              <w:t>Project</w:t>
            </w:r>
          </w:p>
        </w:tc>
        <w:tc>
          <w:tcPr>
            <w:tcW w:w="845" w:type="dxa"/>
            <w:shd w:val="clear" w:color="auto" w:fill="BFBFBF" w:themeFill="background1" w:themeFillShade="BF"/>
            <w:noWrap/>
          </w:tcPr>
          <w:p w:rsidR="00BC1BE1" w:rsidRPr="00BC1BE1" w:rsidRDefault="00BC1BE1" w:rsidP="00BC1BE1">
            <w:pPr>
              <w:spacing w:before="100" w:beforeAutospacing="1" w:after="100" w:afterAutospacing="1"/>
              <w:jc w:val="both"/>
              <w:rPr>
                <w:b/>
                <w:bCs/>
              </w:rPr>
            </w:pPr>
            <w:r w:rsidRPr="00BC1BE1">
              <w:rPr>
                <w:b/>
                <w:bCs/>
              </w:rPr>
              <w:t>Date</w:t>
            </w:r>
          </w:p>
        </w:tc>
        <w:tc>
          <w:tcPr>
            <w:tcW w:w="1191" w:type="dxa"/>
            <w:shd w:val="clear" w:color="auto" w:fill="BFBFBF" w:themeFill="background1" w:themeFillShade="BF"/>
            <w:noWrap/>
            <w:hideMark/>
          </w:tcPr>
          <w:p w:rsidR="00BC1BE1" w:rsidRPr="00BC1BE1" w:rsidRDefault="00BC1BE1" w:rsidP="00BC1BE1">
            <w:pPr>
              <w:spacing w:before="100" w:beforeAutospacing="1" w:after="100" w:afterAutospacing="1"/>
              <w:jc w:val="both"/>
              <w:rPr>
                <w:b/>
                <w:bCs/>
              </w:rPr>
            </w:pPr>
            <w:r w:rsidRPr="00BC1BE1">
              <w:rPr>
                <w:b/>
                <w:bCs/>
              </w:rPr>
              <w:t>Overall cost</w:t>
            </w:r>
          </w:p>
        </w:tc>
        <w:tc>
          <w:tcPr>
            <w:tcW w:w="1257" w:type="dxa"/>
            <w:shd w:val="clear" w:color="auto" w:fill="BFBFBF" w:themeFill="background1" w:themeFillShade="BF"/>
            <w:noWrap/>
            <w:hideMark/>
          </w:tcPr>
          <w:p w:rsidR="00BC1BE1" w:rsidRPr="00BC1BE1" w:rsidRDefault="00BC1BE1" w:rsidP="00BC1BE1">
            <w:pPr>
              <w:spacing w:before="100" w:beforeAutospacing="1" w:after="100" w:afterAutospacing="1"/>
              <w:jc w:val="both"/>
              <w:rPr>
                <w:b/>
                <w:bCs/>
              </w:rPr>
            </w:pPr>
            <w:r w:rsidRPr="00BC1BE1">
              <w:rPr>
                <w:b/>
                <w:bCs/>
              </w:rPr>
              <w:t>EU contribution</w:t>
            </w:r>
          </w:p>
        </w:tc>
        <w:tc>
          <w:tcPr>
            <w:tcW w:w="1170" w:type="dxa"/>
            <w:shd w:val="clear" w:color="auto" w:fill="BFBFBF" w:themeFill="background1" w:themeFillShade="BF"/>
            <w:noWrap/>
          </w:tcPr>
          <w:p w:rsidR="00BC1BE1" w:rsidRPr="00BC1BE1" w:rsidRDefault="00BC1BE1" w:rsidP="00BC1BE1">
            <w:pPr>
              <w:spacing w:before="100" w:beforeAutospacing="1" w:after="100" w:afterAutospacing="1"/>
              <w:jc w:val="both"/>
              <w:rPr>
                <w:b/>
                <w:bCs/>
              </w:rPr>
            </w:pPr>
            <w:r w:rsidRPr="00BC1BE1">
              <w:rPr>
                <w:b/>
                <w:bCs/>
              </w:rPr>
              <w:t>Final date for contracting</w:t>
            </w:r>
          </w:p>
        </w:tc>
        <w:tc>
          <w:tcPr>
            <w:tcW w:w="1177" w:type="dxa"/>
            <w:shd w:val="clear" w:color="auto" w:fill="BFBFBF" w:themeFill="background1" w:themeFillShade="BF"/>
            <w:hideMark/>
          </w:tcPr>
          <w:p w:rsidR="00BC1BE1" w:rsidRPr="00BC1BE1" w:rsidRDefault="00BC1BE1" w:rsidP="00BC1BE1">
            <w:pPr>
              <w:spacing w:before="100" w:beforeAutospacing="1" w:after="100" w:afterAutospacing="1"/>
              <w:jc w:val="both"/>
              <w:rPr>
                <w:b/>
                <w:bCs/>
              </w:rPr>
            </w:pPr>
            <w:r w:rsidRPr="00BC1BE1">
              <w:rPr>
                <w:b/>
                <w:bCs/>
              </w:rPr>
              <w:t>Final date for execution of contracts</w:t>
            </w:r>
          </w:p>
        </w:tc>
        <w:tc>
          <w:tcPr>
            <w:tcW w:w="1337" w:type="dxa"/>
            <w:shd w:val="clear" w:color="auto" w:fill="BFBFBF" w:themeFill="background1" w:themeFillShade="BF"/>
            <w:hideMark/>
          </w:tcPr>
          <w:p w:rsidR="00BC1BE1" w:rsidRPr="00BC1BE1" w:rsidRDefault="00BC1BE1" w:rsidP="00BC1BE1">
            <w:pPr>
              <w:spacing w:before="100" w:beforeAutospacing="1" w:after="100" w:afterAutospacing="1"/>
              <w:jc w:val="both"/>
              <w:rPr>
                <w:b/>
                <w:bCs/>
              </w:rPr>
            </w:pPr>
            <w:r w:rsidRPr="00BC1BE1">
              <w:rPr>
                <w:b/>
                <w:bCs/>
              </w:rPr>
              <w:t>Final date for disbursements</w:t>
            </w:r>
          </w:p>
        </w:tc>
      </w:tr>
      <w:tr w:rsidR="00CA3D03" w:rsidRPr="00BC1BE1" w:rsidTr="00CA3D03">
        <w:trPr>
          <w:trHeight w:val="1200"/>
        </w:trPr>
        <w:tc>
          <w:tcPr>
            <w:tcW w:w="412" w:type="dxa"/>
            <w:shd w:val="clear" w:color="auto" w:fill="BFBFBF" w:themeFill="background1" w:themeFillShade="BF"/>
            <w:noWrap/>
            <w:hideMark/>
          </w:tcPr>
          <w:p w:rsidR="00BC1BE1" w:rsidRPr="00BC1BE1" w:rsidRDefault="00BC1BE1" w:rsidP="00BC1BE1">
            <w:pPr>
              <w:spacing w:before="100" w:beforeAutospacing="1" w:after="100" w:afterAutospacing="1"/>
              <w:jc w:val="both"/>
            </w:pPr>
            <w:r w:rsidRPr="00BC1BE1">
              <w:t>1</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 xml:space="preserve">Preparation of the Albanian Authorities for the </w:t>
            </w:r>
            <w:r w:rsidR="00150DE8" w:rsidRPr="000B5CA1">
              <w:t>Decentralization</w:t>
            </w:r>
            <w:r w:rsidRPr="000B5CA1">
              <w:t xml:space="preserve"> of Management of EU Assistance</w:t>
            </w:r>
          </w:p>
        </w:tc>
        <w:tc>
          <w:tcPr>
            <w:tcW w:w="845" w:type="dxa"/>
            <w:shd w:val="clear" w:color="auto" w:fill="FFFFCC"/>
            <w:noWrap/>
            <w:vAlign w:val="center"/>
          </w:tcPr>
          <w:p w:rsidR="00BC1BE1" w:rsidRPr="00BC1BE1" w:rsidRDefault="00BC1BE1" w:rsidP="004946AE">
            <w:pPr>
              <w:spacing w:before="100" w:beforeAutospacing="1" w:after="100" w:afterAutospacing="1"/>
            </w:pPr>
            <w:r w:rsidRPr="00BC1BE1">
              <w:t>2007</w:t>
            </w:r>
          </w:p>
        </w:tc>
        <w:tc>
          <w:tcPr>
            <w:tcW w:w="1191" w:type="dxa"/>
            <w:shd w:val="clear" w:color="auto" w:fill="FFFFCC"/>
            <w:noWrap/>
            <w:vAlign w:val="center"/>
          </w:tcPr>
          <w:p w:rsidR="00BC1BE1" w:rsidRPr="00BC1BE1" w:rsidRDefault="000B40B2" w:rsidP="004946AE">
            <w:pPr>
              <w:spacing w:before="100" w:beforeAutospacing="1" w:after="100" w:afterAutospacing="1"/>
            </w:pPr>
            <w:r>
              <w:t>1.000.000</w:t>
            </w:r>
          </w:p>
        </w:tc>
        <w:tc>
          <w:tcPr>
            <w:tcW w:w="1257" w:type="dxa"/>
            <w:shd w:val="clear" w:color="auto" w:fill="FFFFCC"/>
            <w:noWrap/>
            <w:vAlign w:val="center"/>
          </w:tcPr>
          <w:p w:rsidR="00BC1BE1" w:rsidRPr="00BC1BE1" w:rsidRDefault="000B40B2" w:rsidP="004946AE">
            <w:pPr>
              <w:spacing w:before="100" w:beforeAutospacing="1" w:after="100" w:afterAutospacing="1"/>
            </w:pPr>
            <w:r w:rsidRPr="000B40B2">
              <w:t>1.000.000</w:t>
            </w:r>
          </w:p>
        </w:tc>
        <w:tc>
          <w:tcPr>
            <w:tcW w:w="1170" w:type="dxa"/>
            <w:shd w:val="clear" w:color="auto" w:fill="FFFFCC"/>
          </w:tcPr>
          <w:p w:rsidR="00BC1BE1" w:rsidRPr="00BC1BE1" w:rsidRDefault="00BC1BE1" w:rsidP="00BC1BE1">
            <w:pPr>
              <w:spacing w:before="100" w:beforeAutospacing="1" w:after="100" w:afterAutospacing="1"/>
            </w:pPr>
            <w:r w:rsidRPr="00BC1BE1">
              <w:t>3 years following the date of conclusion of the Financing Agreement</w:t>
            </w:r>
          </w:p>
        </w:tc>
        <w:tc>
          <w:tcPr>
            <w:tcW w:w="1177" w:type="dxa"/>
            <w:shd w:val="clear" w:color="auto" w:fill="FFFFCC"/>
          </w:tcPr>
          <w:p w:rsidR="00BC1BE1" w:rsidRPr="00BC1BE1" w:rsidRDefault="00BC1BE1" w:rsidP="00BC1BE1">
            <w:pPr>
              <w:spacing w:before="100" w:beforeAutospacing="1" w:after="100" w:afterAutospacing="1"/>
            </w:pPr>
            <w:r w:rsidRPr="00BC1BE1">
              <w:t>2 years following the end date for contracting</w:t>
            </w:r>
          </w:p>
        </w:tc>
        <w:tc>
          <w:tcPr>
            <w:tcW w:w="1337" w:type="dxa"/>
            <w:shd w:val="clear" w:color="auto" w:fill="FFFFCC"/>
          </w:tcPr>
          <w:p w:rsidR="00BC1BE1" w:rsidRPr="00BC1BE1" w:rsidRDefault="00BC1BE1" w:rsidP="00BC1BE1">
            <w:pPr>
              <w:spacing w:before="100" w:beforeAutospacing="1" w:after="100" w:afterAutospacing="1"/>
            </w:pPr>
            <w:r w:rsidRPr="00BC1BE1">
              <w:t>Disbursements will continue for up to one year after the end date for the execution of contracts</w:t>
            </w:r>
          </w:p>
        </w:tc>
      </w:tr>
      <w:tr w:rsidR="00CA3D03" w:rsidRPr="00BC1BE1" w:rsidTr="00CA3D03">
        <w:trPr>
          <w:trHeight w:val="1200"/>
        </w:trPr>
        <w:tc>
          <w:tcPr>
            <w:tcW w:w="412" w:type="dxa"/>
            <w:shd w:val="clear" w:color="auto" w:fill="BFBFBF" w:themeFill="background1" w:themeFillShade="BF"/>
            <w:noWrap/>
            <w:hideMark/>
          </w:tcPr>
          <w:p w:rsidR="00BC1BE1" w:rsidRPr="00BC1BE1" w:rsidRDefault="00BC1BE1" w:rsidP="00BC1BE1">
            <w:pPr>
              <w:spacing w:before="100" w:beforeAutospacing="1" w:after="100" w:afterAutospacing="1"/>
              <w:jc w:val="both"/>
            </w:pPr>
            <w:r w:rsidRPr="00BC1BE1">
              <w:t>2</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Support for alignment of Albanian Statistics with EU standards</w:t>
            </w:r>
          </w:p>
        </w:tc>
        <w:tc>
          <w:tcPr>
            <w:tcW w:w="845" w:type="dxa"/>
            <w:shd w:val="clear" w:color="auto" w:fill="FFFFCC"/>
            <w:noWrap/>
            <w:vAlign w:val="center"/>
          </w:tcPr>
          <w:p w:rsidR="00BC1BE1" w:rsidRPr="00BC1BE1" w:rsidRDefault="00BC1BE1" w:rsidP="004946AE">
            <w:pPr>
              <w:spacing w:before="100" w:beforeAutospacing="1" w:after="100" w:afterAutospacing="1"/>
            </w:pPr>
            <w:r w:rsidRPr="00BC1BE1">
              <w:t>2007</w:t>
            </w:r>
          </w:p>
        </w:tc>
        <w:tc>
          <w:tcPr>
            <w:tcW w:w="1191" w:type="dxa"/>
            <w:shd w:val="clear" w:color="auto" w:fill="FFFFCC"/>
            <w:noWrap/>
            <w:vAlign w:val="center"/>
          </w:tcPr>
          <w:p w:rsidR="00BC1BE1" w:rsidRPr="00BC1BE1" w:rsidRDefault="00BC1BE1" w:rsidP="004946AE">
            <w:pPr>
              <w:spacing w:before="100" w:beforeAutospacing="1" w:after="100" w:afterAutospacing="1"/>
            </w:pPr>
            <w:r w:rsidRPr="00BC1BE1">
              <w:t>2.850.000</w:t>
            </w:r>
          </w:p>
        </w:tc>
        <w:tc>
          <w:tcPr>
            <w:tcW w:w="1257" w:type="dxa"/>
            <w:shd w:val="clear" w:color="auto" w:fill="FFFFCC"/>
            <w:noWrap/>
            <w:vAlign w:val="center"/>
          </w:tcPr>
          <w:p w:rsidR="00BC1BE1" w:rsidRPr="00BC1BE1" w:rsidRDefault="003E0288" w:rsidP="004946AE">
            <w:pPr>
              <w:spacing w:before="100" w:beforeAutospacing="1" w:after="100" w:afterAutospacing="1"/>
            </w:pPr>
            <w:r w:rsidRPr="003E0288">
              <w:t>2.850.000</w:t>
            </w:r>
          </w:p>
        </w:tc>
        <w:tc>
          <w:tcPr>
            <w:tcW w:w="1170" w:type="dxa"/>
            <w:shd w:val="clear" w:color="auto" w:fill="FFFFCC"/>
          </w:tcPr>
          <w:p w:rsidR="00BC1BE1" w:rsidRPr="00BC1BE1" w:rsidRDefault="00BC1BE1" w:rsidP="00BC1BE1">
            <w:pPr>
              <w:spacing w:before="100" w:beforeAutospacing="1" w:after="100" w:afterAutospacing="1"/>
            </w:pPr>
            <w:r w:rsidRPr="00BC1BE1">
              <w:t>3 years following the date of conclusion of the Financing Agreement</w:t>
            </w:r>
          </w:p>
        </w:tc>
        <w:tc>
          <w:tcPr>
            <w:tcW w:w="1177" w:type="dxa"/>
            <w:shd w:val="clear" w:color="auto" w:fill="FFFFCC"/>
          </w:tcPr>
          <w:p w:rsidR="00BC1BE1" w:rsidRPr="00BC1BE1" w:rsidRDefault="00BC1BE1" w:rsidP="00BC1BE1">
            <w:pPr>
              <w:spacing w:before="100" w:beforeAutospacing="1" w:after="100" w:afterAutospacing="1"/>
            </w:pPr>
            <w:r w:rsidRPr="00BC1BE1">
              <w:t>2 years following the end date for contracting</w:t>
            </w:r>
          </w:p>
        </w:tc>
        <w:tc>
          <w:tcPr>
            <w:tcW w:w="1337" w:type="dxa"/>
            <w:shd w:val="clear" w:color="auto" w:fill="FFFFCC"/>
          </w:tcPr>
          <w:p w:rsidR="00BC1BE1" w:rsidRPr="00BC1BE1" w:rsidRDefault="00BC1BE1" w:rsidP="00BC1BE1">
            <w:pPr>
              <w:spacing w:before="100" w:beforeAutospacing="1" w:after="100" w:afterAutospacing="1"/>
            </w:pPr>
            <w:r w:rsidRPr="00BC1BE1">
              <w:t>Disbursements will continue for up to one year after the end date for the execution of contracts</w:t>
            </w:r>
          </w:p>
        </w:tc>
      </w:tr>
      <w:tr w:rsidR="00CA3D03" w:rsidRPr="00BC1BE1" w:rsidTr="00CA3D03">
        <w:trPr>
          <w:trHeight w:val="1500"/>
        </w:trPr>
        <w:tc>
          <w:tcPr>
            <w:tcW w:w="412" w:type="dxa"/>
            <w:shd w:val="clear" w:color="auto" w:fill="BFBFBF" w:themeFill="background1" w:themeFillShade="BF"/>
            <w:noWrap/>
            <w:hideMark/>
          </w:tcPr>
          <w:p w:rsidR="00BC1BE1" w:rsidRPr="00BC1BE1" w:rsidRDefault="00BC1BE1" w:rsidP="00BC1BE1">
            <w:pPr>
              <w:spacing w:before="100" w:beforeAutospacing="1" w:after="100" w:afterAutospacing="1"/>
              <w:jc w:val="both"/>
            </w:pPr>
            <w:r w:rsidRPr="00BC1BE1">
              <w:t>3</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Improvement of Water Supply and Sewerage Systems in Albania</w:t>
            </w:r>
          </w:p>
        </w:tc>
        <w:tc>
          <w:tcPr>
            <w:tcW w:w="845" w:type="dxa"/>
            <w:shd w:val="clear" w:color="auto" w:fill="FFFFCC"/>
            <w:noWrap/>
            <w:vAlign w:val="center"/>
          </w:tcPr>
          <w:p w:rsidR="00BC1BE1" w:rsidRPr="00BC1BE1" w:rsidRDefault="00BC1BE1" w:rsidP="004946AE">
            <w:pPr>
              <w:spacing w:before="100" w:beforeAutospacing="1" w:after="100" w:afterAutospacing="1"/>
            </w:pPr>
            <w:r w:rsidRPr="00BC1BE1">
              <w:t>2007</w:t>
            </w:r>
          </w:p>
        </w:tc>
        <w:tc>
          <w:tcPr>
            <w:tcW w:w="1191" w:type="dxa"/>
            <w:shd w:val="clear" w:color="auto" w:fill="FFFFCC"/>
            <w:noWrap/>
            <w:vAlign w:val="center"/>
          </w:tcPr>
          <w:p w:rsidR="00BC1BE1" w:rsidRPr="00BC1BE1" w:rsidRDefault="000B40B2" w:rsidP="004946AE">
            <w:pPr>
              <w:spacing w:before="100" w:beforeAutospacing="1" w:after="100" w:afterAutospacing="1"/>
            </w:pPr>
            <w:r>
              <w:t>25.500.000</w:t>
            </w:r>
          </w:p>
        </w:tc>
        <w:tc>
          <w:tcPr>
            <w:tcW w:w="1257" w:type="dxa"/>
            <w:shd w:val="clear" w:color="auto" w:fill="FFFFCC"/>
            <w:noWrap/>
            <w:vAlign w:val="center"/>
          </w:tcPr>
          <w:p w:rsidR="00BC1BE1" w:rsidRPr="00BC1BE1" w:rsidRDefault="00BC1BE1" w:rsidP="004946AE">
            <w:pPr>
              <w:spacing w:before="100" w:beforeAutospacing="1" w:after="100" w:afterAutospacing="1"/>
            </w:pPr>
            <w:r w:rsidRPr="00BC1BE1">
              <w:t>24</w:t>
            </w:r>
            <w:r w:rsidR="000B40B2">
              <w:t>.000.000</w:t>
            </w:r>
          </w:p>
        </w:tc>
        <w:tc>
          <w:tcPr>
            <w:tcW w:w="1170" w:type="dxa"/>
            <w:shd w:val="clear" w:color="auto" w:fill="FFFFCC"/>
          </w:tcPr>
          <w:p w:rsidR="00BC1BE1" w:rsidRPr="00BC1BE1" w:rsidRDefault="00BC1BE1" w:rsidP="00BC1BE1">
            <w:pPr>
              <w:spacing w:before="100" w:beforeAutospacing="1" w:after="100" w:afterAutospacing="1"/>
            </w:pPr>
            <w:r w:rsidRPr="00BC1BE1">
              <w:t>3 years following the date of conclusion of the Financing Agreement</w:t>
            </w:r>
          </w:p>
        </w:tc>
        <w:tc>
          <w:tcPr>
            <w:tcW w:w="1177" w:type="dxa"/>
            <w:shd w:val="clear" w:color="auto" w:fill="FFFFCC"/>
          </w:tcPr>
          <w:p w:rsidR="00BC1BE1" w:rsidRPr="00BC1BE1" w:rsidRDefault="00BC1BE1" w:rsidP="00BC1BE1">
            <w:pPr>
              <w:spacing w:before="100" w:beforeAutospacing="1" w:after="100" w:afterAutospacing="1"/>
            </w:pPr>
            <w:r w:rsidRPr="00BC1BE1">
              <w:t>2 years following the end date for contracting</w:t>
            </w:r>
          </w:p>
        </w:tc>
        <w:tc>
          <w:tcPr>
            <w:tcW w:w="1337" w:type="dxa"/>
            <w:shd w:val="clear" w:color="auto" w:fill="FFFFCC"/>
          </w:tcPr>
          <w:p w:rsidR="00BC1BE1" w:rsidRPr="00BC1BE1" w:rsidRDefault="00BC1BE1" w:rsidP="00BC1BE1">
            <w:pPr>
              <w:spacing w:before="100" w:beforeAutospacing="1" w:after="100" w:afterAutospacing="1"/>
            </w:pPr>
            <w:r w:rsidRPr="00BC1BE1">
              <w:t>Disbursements will continue for up to one year after the end date for the execution of contracts</w:t>
            </w:r>
          </w:p>
        </w:tc>
      </w:tr>
      <w:tr w:rsidR="00CA3D03" w:rsidRPr="00BC1BE1" w:rsidTr="00CA3D03">
        <w:trPr>
          <w:trHeight w:val="1200"/>
        </w:trPr>
        <w:tc>
          <w:tcPr>
            <w:tcW w:w="412" w:type="dxa"/>
            <w:shd w:val="clear" w:color="auto" w:fill="BFBFBF" w:themeFill="background1" w:themeFillShade="BF"/>
            <w:noWrap/>
            <w:hideMark/>
          </w:tcPr>
          <w:p w:rsidR="00BC1BE1" w:rsidRPr="00BC1BE1" w:rsidRDefault="00BC1BE1" w:rsidP="00BC1BE1">
            <w:pPr>
              <w:spacing w:before="100" w:beforeAutospacing="1" w:after="100" w:afterAutospacing="1"/>
              <w:jc w:val="both"/>
            </w:pPr>
            <w:r w:rsidRPr="00BC1BE1">
              <w:t>4</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Technical Assistance to Ministry of Public Works, Transport and Telecommunications</w:t>
            </w:r>
          </w:p>
        </w:tc>
        <w:tc>
          <w:tcPr>
            <w:tcW w:w="845" w:type="dxa"/>
            <w:shd w:val="clear" w:color="auto" w:fill="FFFFCC"/>
            <w:noWrap/>
            <w:vAlign w:val="center"/>
          </w:tcPr>
          <w:p w:rsidR="00BC1BE1" w:rsidRPr="00BC1BE1" w:rsidRDefault="00BC1BE1" w:rsidP="004946AE">
            <w:pPr>
              <w:spacing w:before="100" w:beforeAutospacing="1" w:after="100" w:afterAutospacing="1"/>
            </w:pPr>
            <w:r w:rsidRPr="00BC1BE1">
              <w:t>2008</w:t>
            </w:r>
          </w:p>
        </w:tc>
        <w:tc>
          <w:tcPr>
            <w:tcW w:w="1191" w:type="dxa"/>
            <w:shd w:val="clear" w:color="auto" w:fill="FFFFCC"/>
            <w:noWrap/>
            <w:vAlign w:val="center"/>
          </w:tcPr>
          <w:p w:rsidR="00BC1BE1" w:rsidRPr="00BC1BE1" w:rsidRDefault="008D1A91" w:rsidP="004946AE">
            <w:pPr>
              <w:spacing w:before="100" w:beforeAutospacing="1" w:after="100" w:afterAutospacing="1"/>
            </w:pPr>
            <w:r w:rsidRPr="008D1A91">
              <w:t>1.000.000</w:t>
            </w:r>
          </w:p>
        </w:tc>
        <w:tc>
          <w:tcPr>
            <w:tcW w:w="1257" w:type="dxa"/>
            <w:shd w:val="clear" w:color="auto" w:fill="FFFFCC"/>
            <w:noWrap/>
            <w:vAlign w:val="center"/>
          </w:tcPr>
          <w:p w:rsidR="00BC1BE1" w:rsidRPr="00BC1BE1" w:rsidRDefault="008D1A91" w:rsidP="004946AE">
            <w:pPr>
              <w:spacing w:before="100" w:beforeAutospacing="1" w:after="100" w:afterAutospacing="1"/>
            </w:pPr>
            <w:r w:rsidRPr="008D1A91">
              <w:t>1.000.000</w:t>
            </w:r>
          </w:p>
        </w:tc>
        <w:tc>
          <w:tcPr>
            <w:tcW w:w="1170" w:type="dxa"/>
            <w:shd w:val="clear" w:color="auto" w:fill="FFFFCC"/>
          </w:tcPr>
          <w:p w:rsidR="00BC1BE1" w:rsidRPr="00BC1BE1" w:rsidRDefault="00BC1BE1" w:rsidP="00BC1BE1">
            <w:pPr>
              <w:spacing w:before="100" w:beforeAutospacing="1" w:after="100" w:afterAutospacing="1"/>
            </w:pPr>
            <w:r w:rsidRPr="00BC1BE1">
              <w:t>3 years following the date of conclusion of the Financing Agreement</w:t>
            </w:r>
          </w:p>
        </w:tc>
        <w:tc>
          <w:tcPr>
            <w:tcW w:w="1177" w:type="dxa"/>
            <w:shd w:val="clear" w:color="auto" w:fill="FFFFCC"/>
          </w:tcPr>
          <w:p w:rsidR="00BC1BE1" w:rsidRPr="00BC1BE1" w:rsidRDefault="00BC1BE1" w:rsidP="00BC1BE1">
            <w:pPr>
              <w:spacing w:before="100" w:beforeAutospacing="1" w:after="100" w:afterAutospacing="1"/>
            </w:pPr>
            <w:r w:rsidRPr="00BC1BE1">
              <w:t>2 years following the end date for contracting</w:t>
            </w:r>
          </w:p>
        </w:tc>
        <w:tc>
          <w:tcPr>
            <w:tcW w:w="1337" w:type="dxa"/>
            <w:shd w:val="clear" w:color="auto" w:fill="FFFFCC"/>
          </w:tcPr>
          <w:p w:rsidR="00BC1BE1" w:rsidRPr="00BC1BE1" w:rsidRDefault="00BC1BE1" w:rsidP="00BC1BE1">
            <w:pPr>
              <w:spacing w:before="100" w:beforeAutospacing="1" w:after="100" w:afterAutospacing="1"/>
            </w:pPr>
            <w:r w:rsidRPr="00BC1BE1">
              <w:t>One year following the end date for the execution of contracts</w:t>
            </w:r>
          </w:p>
        </w:tc>
      </w:tr>
      <w:tr w:rsidR="00CA3D03" w:rsidRPr="00BC1BE1" w:rsidTr="00CA3D03">
        <w:trPr>
          <w:trHeight w:val="1200"/>
        </w:trPr>
        <w:tc>
          <w:tcPr>
            <w:tcW w:w="412" w:type="dxa"/>
            <w:shd w:val="clear" w:color="auto" w:fill="BFBFBF" w:themeFill="background1" w:themeFillShade="BF"/>
            <w:noWrap/>
            <w:hideMark/>
          </w:tcPr>
          <w:p w:rsidR="00BC1BE1" w:rsidRPr="00BC1BE1" w:rsidRDefault="00BC1BE1" w:rsidP="00BC1BE1">
            <w:pPr>
              <w:spacing w:before="100" w:beforeAutospacing="1" w:after="100" w:afterAutospacing="1"/>
              <w:jc w:val="both"/>
            </w:pPr>
            <w:r w:rsidRPr="00BC1BE1">
              <w:t>5</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Support to Civil Service Reform</w:t>
            </w:r>
          </w:p>
        </w:tc>
        <w:tc>
          <w:tcPr>
            <w:tcW w:w="845" w:type="dxa"/>
            <w:shd w:val="clear" w:color="auto" w:fill="FFFFCC"/>
            <w:noWrap/>
            <w:vAlign w:val="center"/>
          </w:tcPr>
          <w:p w:rsidR="00BC1BE1" w:rsidRPr="00BC1BE1" w:rsidRDefault="00BC1BE1" w:rsidP="004946AE">
            <w:pPr>
              <w:spacing w:before="100" w:beforeAutospacing="1" w:after="100" w:afterAutospacing="1"/>
            </w:pPr>
            <w:r w:rsidRPr="00BC1BE1">
              <w:t>2008</w:t>
            </w:r>
          </w:p>
        </w:tc>
        <w:tc>
          <w:tcPr>
            <w:tcW w:w="1191" w:type="dxa"/>
            <w:shd w:val="clear" w:color="auto" w:fill="FFFFCC"/>
            <w:noWrap/>
            <w:vAlign w:val="center"/>
          </w:tcPr>
          <w:p w:rsidR="00BC1BE1" w:rsidRPr="00BC1BE1" w:rsidRDefault="008D1A91" w:rsidP="004946AE">
            <w:pPr>
              <w:spacing w:before="100" w:beforeAutospacing="1" w:after="100" w:afterAutospacing="1"/>
            </w:pPr>
            <w:r w:rsidRPr="008D1A91">
              <w:t>1.000.000</w:t>
            </w:r>
          </w:p>
        </w:tc>
        <w:tc>
          <w:tcPr>
            <w:tcW w:w="1257" w:type="dxa"/>
            <w:shd w:val="clear" w:color="auto" w:fill="FFFFCC"/>
            <w:noWrap/>
            <w:vAlign w:val="center"/>
          </w:tcPr>
          <w:p w:rsidR="00BC1BE1" w:rsidRPr="00BC1BE1" w:rsidRDefault="008D1A91" w:rsidP="004946AE">
            <w:pPr>
              <w:spacing w:before="100" w:beforeAutospacing="1" w:after="100" w:afterAutospacing="1"/>
            </w:pPr>
            <w:r w:rsidRPr="008D1A91">
              <w:t>1.000.000</w:t>
            </w:r>
          </w:p>
        </w:tc>
        <w:tc>
          <w:tcPr>
            <w:tcW w:w="1170" w:type="dxa"/>
            <w:shd w:val="clear" w:color="auto" w:fill="FFFFCC"/>
          </w:tcPr>
          <w:p w:rsidR="00BC1BE1" w:rsidRPr="00BC1BE1" w:rsidRDefault="00BC1BE1" w:rsidP="00BC1BE1">
            <w:pPr>
              <w:spacing w:before="100" w:beforeAutospacing="1" w:after="100" w:afterAutospacing="1"/>
            </w:pPr>
            <w:r w:rsidRPr="00BC1BE1">
              <w:t>3 years following the date of conclusion of the Financing Agreement</w:t>
            </w:r>
          </w:p>
        </w:tc>
        <w:tc>
          <w:tcPr>
            <w:tcW w:w="1177" w:type="dxa"/>
            <w:shd w:val="clear" w:color="auto" w:fill="FFFFCC"/>
          </w:tcPr>
          <w:p w:rsidR="00BC1BE1" w:rsidRPr="00BC1BE1" w:rsidRDefault="00BC1BE1" w:rsidP="00BC1BE1">
            <w:pPr>
              <w:spacing w:before="100" w:beforeAutospacing="1" w:after="100" w:afterAutospacing="1"/>
            </w:pPr>
            <w:r w:rsidRPr="00BC1BE1">
              <w:t>2 years following the end date for contracting</w:t>
            </w:r>
          </w:p>
        </w:tc>
        <w:tc>
          <w:tcPr>
            <w:tcW w:w="1337" w:type="dxa"/>
            <w:shd w:val="clear" w:color="auto" w:fill="FFFFCC"/>
          </w:tcPr>
          <w:p w:rsidR="00BC1BE1" w:rsidRPr="00BC1BE1" w:rsidRDefault="00BC1BE1" w:rsidP="00BC1BE1">
            <w:pPr>
              <w:spacing w:before="100" w:beforeAutospacing="1" w:after="100" w:afterAutospacing="1"/>
            </w:pPr>
            <w:r w:rsidRPr="00BC1BE1">
              <w:t>Disbursements will continue for up to one year after the end date for the execution</w:t>
            </w:r>
            <w:r w:rsidR="003E0288">
              <w:t xml:space="preserve"> </w:t>
            </w:r>
            <w:r w:rsidRPr="00BC1BE1">
              <w:t>of contracts</w:t>
            </w:r>
          </w:p>
        </w:tc>
      </w:tr>
      <w:tr w:rsidR="00CA3D03" w:rsidRPr="00BC1BE1" w:rsidTr="00CA3D03">
        <w:trPr>
          <w:trHeight w:val="1200"/>
        </w:trPr>
        <w:tc>
          <w:tcPr>
            <w:tcW w:w="412" w:type="dxa"/>
            <w:shd w:val="clear" w:color="auto" w:fill="BFBFBF" w:themeFill="background1" w:themeFillShade="BF"/>
            <w:noWrap/>
            <w:hideMark/>
          </w:tcPr>
          <w:p w:rsidR="00BC1BE1" w:rsidRPr="00BC1BE1" w:rsidRDefault="00CA3D03" w:rsidP="00BC1BE1">
            <w:pPr>
              <w:spacing w:before="100" w:beforeAutospacing="1" w:after="100" w:afterAutospacing="1"/>
              <w:jc w:val="both"/>
            </w:pPr>
            <w:r>
              <w:t>6</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Reconstruction of the secondary and local roads</w:t>
            </w:r>
          </w:p>
        </w:tc>
        <w:tc>
          <w:tcPr>
            <w:tcW w:w="845" w:type="dxa"/>
            <w:shd w:val="clear" w:color="auto" w:fill="FFFFCC"/>
            <w:noWrap/>
            <w:vAlign w:val="center"/>
          </w:tcPr>
          <w:p w:rsidR="00BC1BE1" w:rsidRPr="00BC1BE1" w:rsidRDefault="00BC1BE1" w:rsidP="004946AE">
            <w:pPr>
              <w:spacing w:before="100" w:beforeAutospacing="1" w:after="100" w:afterAutospacing="1"/>
            </w:pPr>
            <w:r w:rsidRPr="00BC1BE1">
              <w:t>2008</w:t>
            </w:r>
          </w:p>
        </w:tc>
        <w:tc>
          <w:tcPr>
            <w:tcW w:w="1191" w:type="dxa"/>
            <w:shd w:val="clear" w:color="auto" w:fill="FFFFCC"/>
            <w:noWrap/>
            <w:vAlign w:val="center"/>
          </w:tcPr>
          <w:p w:rsidR="00BC1BE1" w:rsidRPr="00BC1BE1" w:rsidRDefault="008D1A91" w:rsidP="004946AE">
            <w:pPr>
              <w:spacing w:before="100" w:beforeAutospacing="1" w:after="100" w:afterAutospacing="1"/>
            </w:pPr>
            <w:r>
              <w:t>8.880.</w:t>
            </w:r>
            <w:r w:rsidR="00BC1BE1" w:rsidRPr="00BC1BE1">
              <w:t>000</w:t>
            </w:r>
          </w:p>
        </w:tc>
        <w:tc>
          <w:tcPr>
            <w:tcW w:w="1257" w:type="dxa"/>
            <w:shd w:val="clear" w:color="auto" w:fill="FFFFCC"/>
            <w:noWrap/>
            <w:vAlign w:val="center"/>
          </w:tcPr>
          <w:p w:rsidR="00BC1BE1" w:rsidRPr="00BC1BE1" w:rsidRDefault="008D1A91" w:rsidP="004946AE">
            <w:pPr>
              <w:spacing w:before="100" w:beforeAutospacing="1" w:after="100" w:afterAutospacing="1"/>
            </w:pPr>
            <w:r>
              <w:t>8.000.</w:t>
            </w:r>
            <w:r w:rsidR="00BC1BE1" w:rsidRPr="00BC1BE1">
              <w:t>000</w:t>
            </w:r>
          </w:p>
        </w:tc>
        <w:tc>
          <w:tcPr>
            <w:tcW w:w="1170" w:type="dxa"/>
            <w:shd w:val="clear" w:color="auto" w:fill="FFFFCC"/>
          </w:tcPr>
          <w:p w:rsidR="00BC1BE1" w:rsidRPr="00BC1BE1" w:rsidRDefault="00BC1BE1" w:rsidP="00BC1BE1">
            <w:pPr>
              <w:spacing w:before="100" w:beforeAutospacing="1" w:after="100" w:afterAutospacing="1"/>
            </w:pPr>
            <w:r w:rsidRPr="00BC1BE1">
              <w:t>3 years following the date of conclusion of the Financing Agreement</w:t>
            </w:r>
          </w:p>
        </w:tc>
        <w:tc>
          <w:tcPr>
            <w:tcW w:w="1177" w:type="dxa"/>
            <w:shd w:val="clear" w:color="auto" w:fill="FFFFCC"/>
          </w:tcPr>
          <w:p w:rsidR="00BC1BE1" w:rsidRPr="00BC1BE1" w:rsidRDefault="00BC1BE1" w:rsidP="00BC1BE1">
            <w:pPr>
              <w:spacing w:before="100" w:beforeAutospacing="1" w:after="100" w:afterAutospacing="1"/>
            </w:pPr>
            <w:r w:rsidRPr="00BC1BE1">
              <w:t>2 years following the end date for contracting</w:t>
            </w:r>
          </w:p>
        </w:tc>
        <w:tc>
          <w:tcPr>
            <w:tcW w:w="1337" w:type="dxa"/>
            <w:shd w:val="clear" w:color="auto" w:fill="FFFFCC"/>
          </w:tcPr>
          <w:p w:rsidR="00BC1BE1" w:rsidRPr="00BC1BE1" w:rsidRDefault="00BC1BE1" w:rsidP="00BC1BE1">
            <w:pPr>
              <w:spacing w:before="100" w:beforeAutospacing="1" w:after="100" w:afterAutospacing="1"/>
            </w:pPr>
            <w:r w:rsidRPr="00BC1BE1">
              <w:t>One year following the end date for the execution of contracts</w:t>
            </w:r>
          </w:p>
        </w:tc>
      </w:tr>
      <w:tr w:rsidR="00CA3D03" w:rsidRPr="00BC1BE1" w:rsidTr="00CA3D03">
        <w:trPr>
          <w:trHeight w:val="557"/>
        </w:trPr>
        <w:tc>
          <w:tcPr>
            <w:tcW w:w="412" w:type="dxa"/>
            <w:shd w:val="clear" w:color="auto" w:fill="BFBFBF" w:themeFill="background1" w:themeFillShade="BF"/>
            <w:noWrap/>
            <w:hideMark/>
          </w:tcPr>
          <w:p w:rsidR="00BC1BE1" w:rsidRPr="00BC1BE1" w:rsidRDefault="00CA3D03" w:rsidP="00BC1BE1">
            <w:pPr>
              <w:spacing w:before="100" w:beforeAutospacing="1" w:after="100" w:afterAutospacing="1"/>
              <w:jc w:val="both"/>
            </w:pPr>
            <w:r>
              <w:t>7</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Support to Blue Border Management</w:t>
            </w:r>
          </w:p>
        </w:tc>
        <w:tc>
          <w:tcPr>
            <w:tcW w:w="845" w:type="dxa"/>
            <w:shd w:val="clear" w:color="auto" w:fill="FFFFCC"/>
            <w:noWrap/>
            <w:vAlign w:val="center"/>
          </w:tcPr>
          <w:p w:rsidR="00BC1BE1" w:rsidRPr="00BC1BE1" w:rsidRDefault="00BC1BE1" w:rsidP="004946AE">
            <w:pPr>
              <w:spacing w:before="100" w:beforeAutospacing="1" w:after="100" w:afterAutospacing="1"/>
            </w:pPr>
            <w:r w:rsidRPr="00BC1BE1">
              <w:t>2009</w:t>
            </w:r>
          </w:p>
        </w:tc>
        <w:tc>
          <w:tcPr>
            <w:tcW w:w="1191" w:type="dxa"/>
            <w:shd w:val="clear" w:color="auto" w:fill="FFFFCC"/>
            <w:noWrap/>
            <w:vAlign w:val="center"/>
          </w:tcPr>
          <w:p w:rsidR="00BC1BE1" w:rsidRPr="00BC1BE1" w:rsidRDefault="008D1A91" w:rsidP="004946AE">
            <w:pPr>
              <w:spacing w:before="100" w:beforeAutospacing="1" w:after="100" w:afterAutospacing="1"/>
            </w:pPr>
            <w:r>
              <w:t>5.120.000</w:t>
            </w:r>
          </w:p>
        </w:tc>
        <w:tc>
          <w:tcPr>
            <w:tcW w:w="1257" w:type="dxa"/>
            <w:shd w:val="clear" w:color="auto" w:fill="FFFFCC"/>
            <w:noWrap/>
            <w:vAlign w:val="center"/>
          </w:tcPr>
          <w:p w:rsidR="00BC1BE1" w:rsidRPr="00BC1BE1" w:rsidRDefault="008D1A91" w:rsidP="004946AE">
            <w:pPr>
              <w:spacing w:before="100" w:beforeAutospacing="1" w:after="100" w:afterAutospacing="1"/>
            </w:pPr>
            <w:r>
              <w:t>4.000.000</w:t>
            </w:r>
          </w:p>
        </w:tc>
        <w:tc>
          <w:tcPr>
            <w:tcW w:w="1170" w:type="dxa"/>
            <w:shd w:val="clear" w:color="auto" w:fill="FFFFCC"/>
          </w:tcPr>
          <w:p w:rsidR="00BC1BE1" w:rsidRPr="00BC1BE1" w:rsidRDefault="00BC1BE1" w:rsidP="00BC1BE1">
            <w:pPr>
              <w:spacing w:before="100" w:beforeAutospacing="1" w:after="100" w:afterAutospacing="1"/>
            </w:pPr>
            <w:r w:rsidRPr="00BC1BE1">
              <w:t>Two years following the date of the conclusion of the Financing Agreement</w:t>
            </w:r>
          </w:p>
        </w:tc>
        <w:tc>
          <w:tcPr>
            <w:tcW w:w="1177" w:type="dxa"/>
            <w:shd w:val="clear" w:color="auto" w:fill="FFFFCC"/>
          </w:tcPr>
          <w:p w:rsidR="00BC1BE1" w:rsidRPr="00BC1BE1" w:rsidRDefault="00BC1BE1" w:rsidP="00BC1BE1">
            <w:pPr>
              <w:spacing w:before="100" w:beforeAutospacing="1" w:after="100" w:afterAutospacing="1"/>
            </w:pPr>
            <w:r w:rsidRPr="00BC1BE1">
              <w:t>2 years following the end date for contracting</w:t>
            </w:r>
          </w:p>
        </w:tc>
        <w:tc>
          <w:tcPr>
            <w:tcW w:w="1337" w:type="dxa"/>
            <w:shd w:val="clear" w:color="auto" w:fill="FFFFCC"/>
          </w:tcPr>
          <w:p w:rsidR="00BC1BE1" w:rsidRPr="00BC1BE1" w:rsidRDefault="00BC1BE1" w:rsidP="00BC1BE1">
            <w:pPr>
              <w:spacing w:before="100" w:beforeAutospacing="1" w:after="100" w:afterAutospacing="1"/>
            </w:pPr>
            <w:r w:rsidRPr="00BC1BE1">
              <w:t>One year following the end date for the execution</w:t>
            </w:r>
            <w:r w:rsidR="003E0288">
              <w:t xml:space="preserve"> </w:t>
            </w:r>
            <w:r w:rsidRPr="00BC1BE1">
              <w:t>of contracts</w:t>
            </w:r>
          </w:p>
        </w:tc>
      </w:tr>
      <w:tr w:rsidR="00CA3D03" w:rsidRPr="00BC1BE1" w:rsidTr="009C1447">
        <w:trPr>
          <w:trHeight w:val="1833"/>
        </w:trPr>
        <w:tc>
          <w:tcPr>
            <w:tcW w:w="412" w:type="dxa"/>
            <w:shd w:val="clear" w:color="auto" w:fill="BFBFBF" w:themeFill="background1" w:themeFillShade="BF"/>
            <w:noWrap/>
            <w:hideMark/>
          </w:tcPr>
          <w:p w:rsidR="00BC1BE1" w:rsidRPr="00BC1BE1" w:rsidRDefault="00CA3D03" w:rsidP="00BC1BE1">
            <w:pPr>
              <w:spacing w:before="100" w:beforeAutospacing="1" w:after="100" w:afterAutospacing="1"/>
              <w:jc w:val="both"/>
            </w:pPr>
            <w:r>
              <w:lastRenderedPageBreak/>
              <w:t>8</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Assistance to the Justice System</w:t>
            </w:r>
          </w:p>
        </w:tc>
        <w:tc>
          <w:tcPr>
            <w:tcW w:w="845" w:type="dxa"/>
            <w:shd w:val="clear" w:color="auto" w:fill="FFFFCC"/>
            <w:noWrap/>
            <w:vAlign w:val="center"/>
          </w:tcPr>
          <w:p w:rsidR="00BC1BE1" w:rsidRPr="00BC1BE1" w:rsidRDefault="00BC1BE1" w:rsidP="004946AE">
            <w:pPr>
              <w:spacing w:before="240"/>
              <w:rPr>
                <w:rFonts w:cstheme="minorBidi"/>
                <w:szCs w:val="22"/>
              </w:rPr>
            </w:pPr>
            <w:r w:rsidRPr="00BC1BE1">
              <w:rPr>
                <w:rFonts w:cstheme="minorBidi"/>
                <w:szCs w:val="22"/>
              </w:rPr>
              <w:t>2009</w:t>
            </w:r>
          </w:p>
        </w:tc>
        <w:tc>
          <w:tcPr>
            <w:tcW w:w="1191" w:type="dxa"/>
            <w:shd w:val="clear" w:color="auto" w:fill="FFFFCC"/>
            <w:noWrap/>
            <w:vAlign w:val="center"/>
          </w:tcPr>
          <w:p w:rsidR="00BC1BE1" w:rsidRPr="00BC1BE1" w:rsidRDefault="00BC1BE1" w:rsidP="004946AE">
            <w:pPr>
              <w:spacing w:before="100" w:beforeAutospacing="1" w:after="100" w:afterAutospacing="1"/>
            </w:pPr>
            <w:r w:rsidRPr="00BC1BE1">
              <w:t>3.3</w:t>
            </w:r>
            <w:r w:rsidR="004946AE">
              <w:t>00.000</w:t>
            </w:r>
          </w:p>
        </w:tc>
        <w:tc>
          <w:tcPr>
            <w:tcW w:w="1257" w:type="dxa"/>
            <w:shd w:val="clear" w:color="auto" w:fill="FFFFCC"/>
            <w:noWrap/>
            <w:vAlign w:val="center"/>
          </w:tcPr>
          <w:p w:rsidR="00BC1BE1" w:rsidRPr="00BC1BE1" w:rsidRDefault="004946AE" w:rsidP="004946AE">
            <w:pPr>
              <w:spacing w:before="100" w:beforeAutospacing="1" w:after="100" w:afterAutospacing="1"/>
            </w:pPr>
            <w:r w:rsidRPr="004946AE">
              <w:t>3.300.000</w:t>
            </w:r>
          </w:p>
        </w:tc>
        <w:tc>
          <w:tcPr>
            <w:tcW w:w="1170"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 xml:space="preserve">Two </w:t>
            </w:r>
            <w:r w:rsidR="003E0288">
              <w:rPr>
                <w:rFonts w:cstheme="minorBidi"/>
                <w:szCs w:val="22"/>
              </w:rPr>
              <w:t xml:space="preserve">years following the date of the conclusion of </w:t>
            </w:r>
            <w:r w:rsidRPr="00BC1BE1">
              <w:rPr>
                <w:rFonts w:cstheme="minorBidi"/>
                <w:szCs w:val="22"/>
              </w:rPr>
              <w:t>the Financing Agreement</w:t>
            </w:r>
          </w:p>
        </w:tc>
        <w:tc>
          <w:tcPr>
            <w:tcW w:w="117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2 years following the end date for contracting</w:t>
            </w:r>
          </w:p>
        </w:tc>
        <w:tc>
          <w:tcPr>
            <w:tcW w:w="1337" w:type="dxa"/>
            <w:shd w:val="clear" w:color="auto" w:fill="FFFFCC"/>
          </w:tcPr>
          <w:p w:rsidR="00BC1BE1" w:rsidRPr="00BC1BE1" w:rsidRDefault="003E0288" w:rsidP="00BC1BE1">
            <w:pPr>
              <w:spacing w:before="240"/>
              <w:jc w:val="both"/>
              <w:rPr>
                <w:rFonts w:cstheme="minorBidi"/>
                <w:szCs w:val="22"/>
              </w:rPr>
            </w:pPr>
            <w:r>
              <w:rPr>
                <w:rFonts w:cstheme="minorBidi"/>
                <w:szCs w:val="22"/>
              </w:rPr>
              <w:t xml:space="preserve">One </w:t>
            </w:r>
            <w:r w:rsidR="00BC1BE1" w:rsidRPr="00BC1BE1">
              <w:rPr>
                <w:rFonts w:cstheme="minorBidi"/>
                <w:szCs w:val="22"/>
              </w:rPr>
              <w:t>year following the end date for the execution</w:t>
            </w:r>
          </w:p>
        </w:tc>
      </w:tr>
      <w:tr w:rsidR="00CA3D03" w:rsidRPr="00BC1BE1" w:rsidTr="00CA3D03">
        <w:trPr>
          <w:trHeight w:val="1200"/>
        </w:trPr>
        <w:tc>
          <w:tcPr>
            <w:tcW w:w="412" w:type="dxa"/>
            <w:shd w:val="clear" w:color="auto" w:fill="BFBFBF" w:themeFill="background1" w:themeFillShade="BF"/>
            <w:noWrap/>
          </w:tcPr>
          <w:p w:rsidR="00BC1BE1" w:rsidRPr="00BC1BE1" w:rsidRDefault="00CA3D03" w:rsidP="00BC1BE1">
            <w:pPr>
              <w:spacing w:before="100" w:beforeAutospacing="1" w:after="100" w:afterAutospacing="1"/>
              <w:jc w:val="both"/>
            </w:pPr>
            <w:r>
              <w:t>9</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Improvement of rural roads in Albania</w:t>
            </w:r>
          </w:p>
        </w:tc>
        <w:tc>
          <w:tcPr>
            <w:tcW w:w="845" w:type="dxa"/>
            <w:shd w:val="clear" w:color="auto" w:fill="FFFFCC"/>
            <w:noWrap/>
            <w:vAlign w:val="center"/>
          </w:tcPr>
          <w:p w:rsidR="00BC1BE1" w:rsidRPr="00BC1BE1" w:rsidRDefault="00BC1BE1" w:rsidP="004946AE">
            <w:pPr>
              <w:spacing w:before="240"/>
              <w:rPr>
                <w:rFonts w:cstheme="minorBidi"/>
                <w:szCs w:val="22"/>
              </w:rPr>
            </w:pPr>
            <w:r w:rsidRPr="00BC1BE1">
              <w:rPr>
                <w:rFonts w:cstheme="minorBidi"/>
                <w:szCs w:val="22"/>
              </w:rPr>
              <w:t>2009</w:t>
            </w:r>
          </w:p>
        </w:tc>
        <w:tc>
          <w:tcPr>
            <w:tcW w:w="1191" w:type="dxa"/>
            <w:shd w:val="clear" w:color="auto" w:fill="FFFFCC"/>
            <w:noWrap/>
            <w:vAlign w:val="center"/>
          </w:tcPr>
          <w:p w:rsidR="00BC1BE1" w:rsidRPr="00BC1BE1" w:rsidRDefault="004946AE" w:rsidP="004946AE">
            <w:pPr>
              <w:spacing w:before="100" w:beforeAutospacing="1" w:after="100" w:afterAutospacing="1"/>
            </w:pPr>
            <w:r>
              <w:t>49.000.</w:t>
            </w:r>
            <w:r w:rsidR="00BC1BE1" w:rsidRPr="00BC1BE1">
              <w:t>000</w:t>
            </w:r>
          </w:p>
        </w:tc>
        <w:tc>
          <w:tcPr>
            <w:tcW w:w="1257" w:type="dxa"/>
            <w:shd w:val="clear" w:color="auto" w:fill="FFFFCC"/>
            <w:noWrap/>
            <w:vAlign w:val="center"/>
          </w:tcPr>
          <w:p w:rsidR="00BC1BE1" w:rsidRPr="00BC1BE1" w:rsidRDefault="004946AE" w:rsidP="004946AE">
            <w:pPr>
              <w:spacing w:before="100" w:beforeAutospacing="1" w:after="100" w:afterAutospacing="1"/>
            </w:pPr>
            <w:r>
              <w:t>9.000.</w:t>
            </w:r>
            <w:r w:rsidR="00BC1BE1" w:rsidRPr="00BC1BE1">
              <w:t>000</w:t>
            </w:r>
          </w:p>
        </w:tc>
        <w:tc>
          <w:tcPr>
            <w:tcW w:w="1170"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Two years following the date of the conclusion of the Financing Agreement</w:t>
            </w:r>
          </w:p>
        </w:tc>
        <w:tc>
          <w:tcPr>
            <w:tcW w:w="117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Four years following the end date for contracting</w:t>
            </w:r>
          </w:p>
        </w:tc>
        <w:tc>
          <w:tcPr>
            <w:tcW w:w="133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One year following the end date for the execution</w:t>
            </w:r>
          </w:p>
        </w:tc>
      </w:tr>
      <w:tr w:rsidR="00CA3D03" w:rsidRPr="00BC1BE1" w:rsidTr="00CA3D03">
        <w:trPr>
          <w:trHeight w:val="1200"/>
        </w:trPr>
        <w:tc>
          <w:tcPr>
            <w:tcW w:w="412" w:type="dxa"/>
            <w:shd w:val="clear" w:color="auto" w:fill="BFBFBF" w:themeFill="background1" w:themeFillShade="BF"/>
            <w:noWrap/>
          </w:tcPr>
          <w:p w:rsidR="00BC1BE1" w:rsidRPr="00BC1BE1" w:rsidRDefault="00CA3D03" w:rsidP="00BC1BE1">
            <w:pPr>
              <w:spacing w:before="100" w:beforeAutospacing="1" w:after="100" w:afterAutospacing="1"/>
              <w:jc w:val="both"/>
            </w:pPr>
            <w:r>
              <w:t>10</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Support to the EU integration process</w:t>
            </w:r>
          </w:p>
        </w:tc>
        <w:tc>
          <w:tcPr>
            <w:tcW w:w="845" w:type="dxa"/>
            <w:shd w:val="clear" w:color="auto" w:fill="FFFFCC"/>
            <w:noWrap/>
            <w:vAlign w:val="center"/>
          </w:tcPr>
          <w:p w:rsidR="00BC1BE1" w:rsidRPr="00BC1BE1" w:rsidRDefault="00BC1BE1" w:rsidP="004946AE">
            <w:pPr>
              <w:spacing w:before="240"/>
              <w:rPr>
                <w:rFonts w:cstheme="minorBidi"/>
                <w:szCs w:val="22"/>
              </w:rPr>
            </w:pPr>
            <w:r w:rsidRPr="00BC1BE1">
              <w:rPr>
                <w:rFonts w:cstheme="minorBidi"/>
                <w:szCs w:val="22"/>
              </w:rPr>
              <w:t>2010</w:t>
            </w:r>
          </w:p>
        </w:tc>
        <w:tc>
          <w:tcPr>
            <w:tcW w:w="1191" w:type="dxa"/>
            <w:shd w:val="clear" w:color="auto" w:fill="FFFFCC"/>
            <w:noWrap/>
            <w:vAlign w:val="center"/>
          </w:tcPr>
          <w:p w:rsidR="00BC1BE1" w:rsidRPr="00BC1BE1" w:rsidRDefault="004946AE" w:rsidP="004946AE">
            <w:pPr>
              <w:spacing w:before="100" w:beforeAutospacing="1" w:after="100" w:afterAutospacing="1"/>
            </w:pPr>
            <w:r>
              <w:t>2.222.</w:t>
            </w:r>
            <w:r w:rsidR="00BC1BE1" w:rsidRPr="00BC1BE1">
              <w:t>000</w:t>
            </w:r>
          </w:p>
        </w:tc>
        <w:tc>
          <w:tcPr>
            <w:tcW w:w="1257" w:type="dxa"/>
            <w:shd w:val="clear" w:color="auto" w:fill="FFFFCC"/>
            <w:noWrap/>
            <w:vAlign w:val="center"/>
          </w:tcPr>
          <w:p w:rsidR="00BC1BE1" w:rsidRPr="00BC1BE1" w:rsidRDefault="004946AE" w:rsidP="004946AE">
            <w:pPr>
              <w:spacing w:before="100" w:beforeAutospacing="1" w:after="100" w:afterAutospacing="1"/>
            </w:pPr>
            <w:r>
              <w:t>2.000.</w:t>
            </w:r>
            <w:r w:rsidR="00BC1BE1" w:rsidRPr="00BC1BE1">
              <w:t>000</w:t>
            </w:r>
          </w:p>
        </w:tc>
        <w:tc>
          <w:tcPr>
            <w:tcW w:w="1170"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Two years following the date of the conclusion of the Financing Agreement</w:t>
            </w:r>
          </w:p>
        </w:tc>
        <w:tc>
          <w:tcPr>
            <w:tcW w:w="117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2 years following the end date for contracting</w:t>
            </w:r>
          </w:p>
        </w:tc>
        <w:tc>
          <w:tcPr>
            <w:tcW w:w="133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One year following the end date for the execution</w:t>
            </w:r>
          </w:p>
        </w:tc>
      </w:tr>
      <w:tr w:rsidR="00CA3D03" w:rsidRPr="00BC1BE1" w:rsidTr="00CA3D03">
        <w:trPr>
          <w:trHeight w:val="1200"/>
        </w:trPr>
        <w:tc>
          <w:tcPr>
            <w:tcW w:w="412" w:type="dxa"/>
            <w:shd w:val="clear" w:color="auto" w:fill="BFBFBF" w:themeFill="background1" w:themeFillShade="BF"/>
            <w:noWrap/>
          </w:tcPr>
          <w:p w:rsidR="00BC1BE1" w:rsidRPr="00BC1BE1" w:rsidRDefault="00CA3D03" w:rsidP="00BC1BE1">
            <w:pPr>
              <w:spacing w:before="100" w:beforeAutospacing="1" w:after="100" w:afterAutospacing="1"/>
              <w:jc w:val="both"/>
            </w:pPr>
            <w:r>
              <w:t>11</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Strengthening the Assembly of Albania</w:t>
            </w:r>
          </w:p>
        </w:tc>
        <w:tc>
          <w:tcPr>
            <w:tcW w:w="845" w:type="dxa"/>
            <w:shd w:val="clear" w:color="auto" w:fill="FFFFCC"/>
            <w:noWrap/>
            <w:vAlign w:val="center"/>
          </w:tcPr>
          <w:p w:rsidR="00BC1BE1" w:rsidRPr="00BC1BE1" w:rsidRDefault="00BC1BE1" w:rsidP="004946AE">
            <w:pPr>
              <w:spacing w:before="240"/>
              <w:rPr>
                <w:rFonts w:cstheme="minorBidi"/>
                <w:szCs w:val="22"/>
              </w:rPr>
            </w:pPr>
            <w:r w:rsidRPr="00BC1BE1">
              <w:rPr>
                <w:rFonts w:cstheme="minorBidi"/>
                <w:szCs w:val="22"/>
              </w:rPr>
              <w:t>2010</w:t>
            </w:r>
          </w:p>
        </w:tc>
        <w:tc>
          <w:tcPr>
            <w:tcW w:w="1191" w:type="dxa"/>
            <w:shd w:val="clear" w:color="auto" w:fill="FFFFCC"/>
            <w:noWrap/>
            <w:vAlign w:val="center"/>
          </w:tcPr>
          <w:p w:rsidR="00BC1BE1" w:rsidRPr="00BC1BE1" w:rsidRDefault="004946AE" w:rsidP="004946AE">
            <w:pPr>
              <w:spacing w:before="100" w:beforeAutospacing="1" w:after="100" w:afterAutospacing="1"/>
            </w:pPr>
            <w:r>
              <w:t>1.580.</w:t>
            </w:r>
            <w:r w:rsidR="00BC1BE1" w:rsidRPr="00BC1BE1">
              <w:t>000</w:t>
            </w:r>
          </w:p>
        </w:tc>
        <w:tc>
          <w:tcPr>
            <w:tcW w:w="1257" w:type="dxa"/>
            <w:shd w:val="clear" w:color="auto" w:fill="FFFFCC"/>
            <w:noWrap/>
            <w:vAlign w:val="center"/>
          </w:tcPr>
          <w:p w:rsidR="00BC1BE1" w:rsidRPr="00BC1BE1" w:rsidRDefault="004946AE" w:rsidP="004946AE">
            <w:pPr>
              <w:spacing w:before="100" w:beforeAutospacing="1" w:after="100" w:afterAutospacing="1"/>
            </w:pPr>
            <w:r>
              <w:t>1.500.</w:t>
            </w:r>
            <w:r w:rsidR="00BC1BE1" w:rsidRPr="00BC1BE1">
              <w:t>000</w:t>
            </w:r>
          </w:p>
        </w:tc>
        <w:tc>
          <w:tcPr>
            <w:tcW w:w="1170"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Two years following the date of the conclusion of the Financing Agreement</w:t>
            </w:r>
          </w:p>
        </w:tc>
        <w:tc>
          <w:tcPr>
            <w:tcW w:w="117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2 years following the end date for contracting</w:t>
            </w:r>
          </w:p>
        </w:tc>
        <w:tc>
          <w:tcPr>
            <w:tcW w:w="133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One year following the end date for the execution</w:t>
            </w:r>
          </w:p>
        </w:tc>
      </w:tr>
      <w:tr w:rsidR="00CA3D03" w:rsidRPr="00BC1BE1" w:rsidTr="00CA3D03">
        <w:trPr>
          <w:trHeight w:val="1200"/>
        </w:trPr>
        <w:tc>
          <w:tcPr>
            <w:tcW w:w="412" w:type="dxa"/>
            <w:shd w:val="clear" w:color="auto" w:fill="BFBFBF" w:themeFill="background1" w:themeFillShade="BF"/>
            <w:noWrap/>
          </w:tcPr>
          <w:p w:rsidR="00BC1BE1" w:rsidRPr="00BC1BE1" w:rsidRDefault="00CA3D03" w:rsidP="00BC1BE1">
            <w:pPr>
              <w:spacing w:before="100" w:beforeAutospacing="1" w:after="100" w:afterAutospacing="1"/>
              <w:jc w:val="both"/>
            </w:pPr>
            <w:r>
              <w:t>12</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Human Resources Development in Albania</w:t>
            </w:r>
          </w:p>
        </w:tc>
        <w:tc>
          <w:tcPr>
            <w:tcW w:w="845" w:type="dxa"/>
            <w:shd w:val="clear" w:color="auto" w:fill="FFFFCC"/>
            <w:noWrap/>
            <w:vAlign w:val="center"/>
          </w:tcPr>
          <w:p w:rsidR="00BC1BE1" w:rsidRPr="00BC1BE1" w:rsidRDefault="00BC1BE1" w:rsidP="004946AE">
            <w:pPr>
              <w:spacing w:before="240"/>
              <w:rPr>
                <w:rFonts w:cstheme="minorBidi"/>
                <w:szCs w:val="22"/>
              </w:rPr>
            </w:pPr>
            <w:r w:rsidRPr="00BC1BE1">
              <w:rPr>
                <w:rFonts w:cstheme="minorBidi"/>
                <w:szCs w:val="22"/>
              </w:rPr>
              <w:t>2010</w:t>
            </w:r>
          </w:p>
        </w:tc>
        <w:tc>
          <w:tcPr>
            <w:tcW w:w="1191" w:type="dxa"/>
            <w:shd w:val="clear" w:color="auto" w:fill="FFFFCC"/>
            <w:noWrap/>
            <w:vAlign w:val="center"/>
          </w:tcPr>
          <w:p w:rsidR="00BC1BE1" w:rsidRPr="00BC1BE1" w:rsidRDefault="004946AE" w:rsidP="004946AE">
            <w:pPr>
              <w:spacing w:before="100" w:beforeAutospacing="1" w:after="100" w:afterAutospacing="1"/>
            </w:pPr>
            <w:r>
              <w:t>3.330.</w:t>
            </w:r>
            <w:r w:rsidR="00BC1BE1" w:rsidRPr="00BC1BE1">
              <w:t>000</w:t>
            </w:r>
          </w:p>
        </w:tc>
        <w:tc>
          <w:tcPr>
            <w:tcW w:w="1257" w:type="dxa"/>
            <w:shd w:val="clear" w:color="auto" w:fill="FFFFCC"/>
            <w:noWrap/>
            <w:vAlign w:val="center"/>
          </w:tcPr>
          <w:p w:rsidR="00BC1BE1" w:rsidRPr="00BC1BE1" w:rsidRDefault="004946AE" w:rsidP="004946AE">
            <w:pPr>
              <w:spacing w:before="100" w:beforeAutospacing="1" w:after="100" w:afterAutospacing="1"/>
            </w:pPr>
            <w:r>
              <w:t>3.000.</w:t>
            </w:r>
            <w:r w:rsidR="00BC1BE1" w:rsidRPr="00BC1BE1">
              <w:t>000</w:t>
            </w:r>
          </w:p>
        </w:tc>
        <w:tc>
          <w:tcPr>
            <w:tcW w:w="1170"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Two years following the date of the conclusion of the Financing Agreement</w:t>
            </w:r>
          </w:p>
        </w:tc>
        <w:tc>
          <w:tcPr>
            <w:tcW w:w="117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2 years following the end date for contracting</w:t>
            </w:r>
          </w:p>
        </w:tc>
        <w:tc>
          <w:tcPr>
            <w:tcW w:w="133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One year following the end date for the execution</w:t>
            </w:r>
          </w:p>
        </w:tc>
      </w:tr>
      <w:tr w:rsidR="00CA3D03" w:rsidRPr="00BC1BE1" w:rsidTr="00CA3D03">
        <w:trPr>
          <w:trHeight w:val="1876"/>
        </w:trPr>
        <w:tc>
          <w:tcPr>
            <w:tcW w:w="412" w:type="dxa"/>
            <w:shd w:val="clear" w:color="auto" w:fill="BFBFBF" w:themeFill="background1" w:themeFillShade="BF"/>
            <w:noWrap/>
          </w:tcPr>
          <w:p w:rsidR="00BC1BE1" w:rsidRPr="00BC1BE1" w:rsidRDefault="00CA3D03" w:rsidP="00BC1BE1">
            <w:pPr>
              <w:spacing w:before="100" w:beforeAutospacing="1" w:after="100" w:afterAutospacing="1"/>
              <w:jc w:val="both"/>
            </w:pPr>
            <w:r>
              <w:t>13</w:t>
            </w:r>
          </w:p>
        </w:tc>
        <w:tc>
          <w:tcPr>
            <w:tcW w:w="1853" w:type="dxa"/>
            <w:shd w:val="clear" w:color="auto" w:fill="FFFFCC"/>
            <w:vAlign w:val="center"/>
          </w:tcPr>
          <w:p w:rsidR="00BC1BE1" w:rsidRPr="000B5CA1" w:rsidRDefault="00BC1BE1" w:rsidP="004946AE">
            <w:pPr>
              <w:spacing w:before="100" w:beforeAutospacing="1" w:after="100" w:afterAutospacing="1"/>
            </w:pPr>
            <w:r w:rsidRPr="000B5CA1">
              <w:t>Support to the Albanian Customs Administration</w:t>
            </w:r>
          </w:p>
        </w:tc>
        <w:tc>
          <w:tcPr>
            <w:tcW w:w="845" w:type="dxa"/>
            <w:shd w:val="clear" w:color="auto" w:fill="FFFFCC"/>
            <w:noWrap/>
            <w:vAlign w:val="center"/>
          </w:tcPr>
          <w:p w:rsidR="00BC1BE1" w:rsidRPr="00BC1BE1" w:rsidRDefault="00BC1BE1" w:rsidP="004946AE">
            <w:pPr>
              <w:spacing w:before="240"/>
              <w:rPr>
                <w:rFonts w:cstheme="minorBidi"/>
                <w:szCs w:val="22"/>
              </w:rPr>
            </w:pPr>
            <w:r w:rsidRPr="00BC1BE1">
              <w:rPr>
                <w:rFonts w:cstheme="minorBidi"/>
                <w:szCs w:val="22"/>
              </w:rPr>
              <w:t>2011</w:t>
            </w:r>
          </w:p>
        </w:tc>
        <w:tc>
          <w:tcPr>
            <w:tcW w:w="1191" w:type="dxa"/>
            <w:shd w:val="clear" w:color="auto" w:fill="FFFFCC"/>
            <w:noWrap/>
            <w:vAlign w:val="center"/>
          </w:tcPr>
          <w:p w:rsidR="00BC1BE1" w:rsidRPr="00BC1BE1" w:rsidRDefault="004946AE" w:rsidP="004946AE">
            <w:pPr>
              <w:spacing w:before="100" w:beforeAutospacing="1" w:after="100" w:afterAutospacing="1"/>
            </w:pPr>
            <w:r>
              <w:t>3.300.</w:t>
            </w:r>
            <w:r w:rsidR="00BC1BE1" w:rsidRPr="00BC1BE1">
              <w:t>000</w:t>
            </w:r>
          </w:p>
        </w:tc>
        <w:tc>
          <w:tcPr>
            <w:tcW w:w="1257" w:type="dxa"/>
            <w:shd w:val="clear" w:color="auto" w:fill="FFFFCC"/>
            <w:noWrap/>
            <w:vAlign w:val="center"/>
          </w:tcPr>
          <w:p w:rsidR="00BC1BE1" w:rsidRPr="00BC1BE1" w:rsidRDefault="004946AE" w:rsidP="004946AE">
            <w:pPr>
              <w:spacing w:before="100" w:beforeAutospacing="1" w:after="100" w:afterAutospacing="1"/>
            </w:pPr>
            <w:r>
              <w:t>3.000.</w:t>
            </w:r>
            <w:r w:rsidR="00BC1BE1" w:rsidRPr="00BC1BE1">
              <w:t>000</w:t>
            </w:r>
          </w:p>
        </w:tc>
        <w:tc>
          <w:tcPr>
            <w:tcW w:w="1170" w:type="dxa"/>
            <w:shd w:val="clear" w:color="auto" w:fill="FFFFCC"/>
          </w:tcPr>
          <w:p w:rsidR="00BC1BE1" w:rsidRPr="00BC1BE1" w:rsidRDefault="00BC1BE1" w:rsidP="00BC1BE1">
            <w:pPr>
              <w:spacing w:before="100" w:beforeAutospacing="1" w:after="100" w:afterAutospacing="1"/>
            </w:pPr>
            <w:r w:rsidRPr="00BC1BE1">
              <w:t xml:space="preserve">Two years following the date of the conclusion of the Financing Agreement </w:t>
            </w:r>
          </w:p>
          <w:p w:rsidR="00BC1BE1" w:rsidRPr="00BC1BE1" w:rsidRDefault="00BC1BE1" w:rsidP="00BC1BE1">
            <w:pPr>
              <w:spacing w:before="100" w:beforeAutospacing="1" w:after="100" w:afterAutospacing="1"/>
            </w:pPr>
          </w:p>
        </w:tc>
        <w:tc>
          <w:tcPr>
            <w:tcW w:w="1177" w:type="dxa"/>
            <w:shd w:val="clear" w:color="auto" w:fill="FFFFCC"/>
          </w:tcPr>
          <w:p w:rsidR="00BC1BE1" w:rsidRPr="00BC1BE1" w:rsidRDefault="00BC1BE1" w:rsidP="00BC1BE1">
            <w:pPr>
              <w:spacing w:before="100" w:beforeAutospacing="1" w:after="100" w:afterAutospacing="1"/>
            </w:pPr>
            <w:r w:rsidRPr="00BC1BE1">
              <w:t>2 years following the end date for contracting</w:t>
            </w:r>
          </w:p>
        </w:tc>
        <w:tc>
          <w:tcPr>
            <w:tcW w:w="1337" w:type="dxa"/>
            <w:shd w:val="clear" w:color="auto" w:fill="FFFFCC"/>
          </w:tcPr>
          <w:p w:rsidR="00BC1BE1" w:rsidRPr="00BC1BE1" w:rsidRDefault="00BC1BE1" w:rsidP="00BC1BE1">
            <w:pPr>
              <w:spacing w:before="100" w:beforeAutospacing="1" w:after="100" w:afterAutospacing="1"/>
            </w:pPr>
            <w:r w:rsidRPr="00BC1BE1">
              <w:t>One year following the end date for the execution</w:t>
            </w:r>
          </w:p>
        </w:tc>
      </w:tr>
      <w:tr w:rsidR="00CA3D03" w:rsidRPr="00BC1BE1" w:rsidTr="00CA3D03">
        <w:trPr>
          <w:trHeight w:val="1200"/>
        </w:trPr>
        <w:tc>
          <w:tcPr>
            <w:tcW w:w="412" w:type="dxa"/>
            <w:shd w:val="clear" w:color="auto" w:fill="BFBFBF" w:themeFill="background1" w:themeFillShade="BF"/>
            <w:noWrap/>
          </w:tcPr>
          <w:p w:rsidR="00BC1BE1" w:rsidRPr="00BC1BE1" w:rsidRDefault="00CA3D03" w:rsidP="00BC1BE1">
            <w:pPr>
              <w:spacing w:before="100" w:beforeAutospacing="1" w:after="100" w:afterAutospacing="1"/>
              <w:jc w:val="both"/>
            </w:pPr>
            <w:r>
              <w:lastRenderedPageBreak/>
              <w:t>14</w:t>
            </w:r>
          </w:p>
        </w:tc>
        <w:tc>
          <w:tcPr>
            <w:tcW w:w="1853" w:type="dxa"/>
            <w:shd w:val="clear" w:color="auto" w:fill="FFFFCC"/>
          </w:tcPr>
          <w:p w:rsidR="00BC1BE1" w:rsidRPr="000B5CA1" w:rsidRDefault="00BC1BE1" w:rsidP="00BC1BE1">
            <w:pPr>
              <w:spacing w:before="100" w:beforeAutospacing="1" w:after="100" w:afterAutospacing="1"/>
            </w:pPr>
            <w:r w:rsidRPr="000B5CA1">
              <w:t>Support to Agriculture and Rural Development</w:t>
            </w:r>
          </w:p>
        </w:tc>
        <w:tc>
          <w:tcPr>
            <w:tcW w:w="845" w:type="dxa"/>
            <w:shd w:val="clear" w:color="auto" w:fill="FFFFCC"/>
            <w:noWrap/>
            <w:vAlign w:val="center"/>
          </w:tcPr>
          <w:p w:rsidR="00BC1BE1" w:rsidRPr="00BC1BE1" w:rsidRDefault="00BC1BE1" w:rsidP="004946AE">
            <w:pPr>
              <w:spacing w:before="240"/>
              <w:rPr>
                <w:rFonts w:cstheme="minorBidi"/>
                <w:szCs w:val="22"/>
              </w:rPr>
            </w:pPr>
            <w:r w:rsidRPr="00BC1BE1">
              <w:rPr>
                <w:rFonts w:cstheme="minorBidi"/>
                <w:szCs w:val="22"/>
              </w:rPr>
              <w:t>2011</w:t>
            </w:r>
          </w:p>
        </w:tc>
        <w:tc>
          <w:tcPr>
            <w:tcW w:w="1191" w:type="dxa"/>
            <w:shd w:val="clear" w:color="auto" w:fill="FFFFCC"/>
            <w:noWrap/>
            <w:vAlign w:val="center"/>
          </w:tcPr>
          <w:p w:rsidR="00BC1BE1" w:rsidRPr="00BC1BE1" w:rsidRDefault="00BC1BE1" w:rsidP="004946AE">
            <w:pPr>
              <w:spacing w:before="100" w:beforeAutospacing="1" w:after="100" w:afterAutospacing="1"/>
            </w:pPr>
            <w:r w:rsidRPr="00BC1BE1">
              <w:t>20</w:t>
            </w:r>
            <w:r w:rsidR="004946AE">
              <w:t>.750.</w:t>
            </w:r>
            <w:r w:rsidRPr="00BC1BE1">
              <w:t>000</w:t>
            </w:r>
          </w:p>
        </w:tc>
        <w:tc>
          <w:tcPr>
            <w:tcW w:w="1257" w:type="dxa"/>
            <w:shd w:val="clear" w:color="auto" w:fill="FFFFCC"/>
            <w:noWrap/>
            <w:vAlign w:val="center"/>
          </w:tcPr>
          <w:p w:rsidR="00BC1BE1" w:rsidRPr="00BC1BE1" w:rsidRDefault="00BC1BE1" w:rsidP="004946AE">
            <w:pPr>
              <w:spacing w:before="100" w:beforeAutospacing="1" w:after="100" w:afterAutospacing="1"/>
            </w:pPr>
            <w:r w:rsidRPr="00BC1BE1">
              <w:t>10.000.000</w:t>
            </w:r>
          </w:p>
        </w:tc>
        <w:tc>
          <w:tcPr>
            <w:tcW w:w="1170"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Two years following the date of the conclusion of the Financing Agreement</w:t>
            </w:r>
          </w:p>
        </w:tc>
        <w:tc>
          <w:tcPr>
            <w:tcW w:w="117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2 years following the end date for contracting</w:t>
            </w:r>
          </w:p>
        </w:tc>
        <w:tc>
          <w:tcPr>
            <w:tcW w:w="1337" w:type="dxa"/>
            <w:shd w:val="clear" w:color="auto" w:fill="FFFFCC"/>
          </w:tcPr>
          <w:p w:rsidR="00BC1BE1" w:rsidRPr="00BC1BE1" w:rsidRDefault="00BC1BE1" w:rsidP="00BC1BE1">
            <w:pPr>
              <w:spacing w:before="240"/>
              <w:jc w:val="both"/>
              <w:rPr>
                <w:rFonts w:cstheme="minorBidi"/>
                <w:szCs w:val="22"/>
              </w:rPr>
            </w:pPr>
            <w:r w:rsidRPr="00BC1BE1">
              <w:rPr>
                <w:rFonts w:cstheme="minorBidi"/>
                <w:szCs w:val="22"/>
              </w:rPr>
              <w:t>One year following the end date for the execution</w:t>
            </w:r>
          </w:p>
        </w:tc>
      </w:tr>
      <w:tr w:rsidR="00CA3D03" w:rsidRPr="00BC1BE1" w:rsidTr="00CA3D03">
        <w:trPr>
          <w:trHeight w:val="1200"/>
        </w:trPr>
        <w:tc>
          <w:tcPr>
            <w:tcW w:w="412" w:type="dxa"/>
            <w:shd w:val="clear" w:color="auto" w:fill="BFBFBF" w:themeFill="background1" w:themeFillShade="BF"/>
            <w:noWrap/>
          </w:tcPr>
          <w:p w:rsidR="003E0288" w:rsidRPr="00BC1BE1" w:rsidRDefault="00CA3D03" w:rsidP="003E0288">
            <w:pPr>
              <w:spacing w:before="100" w:beforeAutospacing="1" w:after="100" w:afterAutospacing="1"/>
              <w:jc w:val="both"/>
            </w:pPr>
            <w:r>
              <w:t>15</w:t>
            </w:r>
          </w:p>
        </w:tc>
        <w:tc>
          <w:tcPr>
            <w:tcW w:w="1853" w:type="dxa"/>
            <w:shd w:val="clear" w:color="auto" w:fill="FFFFCC"/>
          </w:tcPr>
          <w:p w:rsidR="003E0288" w:rsidRPr="000B5CA1" w:rsidRDefault="003E0288" w:rsidP="003E0288">
            <w:pPr>
              <w:spacing w:before="100" w:beforeAutospacing="1" w:after="100" w:afterAutospacing="1"/>
            </w:pPr>
            <w:r w:rsidRPr="000B5CA1">
              <w:t xml:space="preserve">Support for participation to Union </w:t>
            </w:r>
            <w:proofErr w:type="spellStart"/>
            <w:r w:rsidRPr="000B5CA1">
              <w:t>Programmes</w:t>
            </w:r>
            <w:proofErr w:type="spellEnd"/>
          </w:p>
        </w:tc>
        <w:tc>
          <w:tcPr>
            <w:tcW w:w="845" w:type="dxa"/>
            <w:shd w:val="clear" w:color="auto" w:fill="FFFFCC"/>
            <w:noWrap/>
            <w:vAlign w:val="center"/>
          </w:tcPr>
          <w:p w:rsidR="003E0288" w:rsidRPr="00BC1BE1" w:rsidRDefault="003E0288" w:rsidP="004946AE">
            <w:pPr>
              <w:spacing w:before="240"/>
              <w:rPr>
                <w:rFonts w:cstheme="minorBidi"/>
                <w:szCs w:val="22"/>
              </w:rPr>
            </w:pPr>
            <w:r w:rsidRPr="00BC1BE1">
              <w:rPr>
                <w:rFonts w:cstheme="minorBidi"/>
                <w:szCs w:val="22"/>
              </w:rPr>
              <w:t>2011</w:t>
            </w:r>
          </w:p>
        </w:tc>
        <w:tc>
          <w:tcPr>
            <w:tcW w:w="1191" w:type="dxa"/>
            <w:shd w:val="clear" w:color="auto" w:fill="FFFFCC"/>
            <w:noWrap/>
            <w:vAlign w:val="center"/>
          </w:tcPr>
          <w:p w:rsidR="003E0288" w:rsidRPr="00BC1BE1" w:rsidRDefault="004946AE" w:rsidP="004946AE">
            <w:pPr>
              <w:spacing w:before="100" w:beforeAutospacing="1" w:after="100" w:afterAutospacing="1"/>
            </w:pPr>
            <w:r>
              <w:t>3.256.</w:t>
            </w:r>
            <w:r w:rsidR="003E0288" w:rsidRPr="00BC1BE1">
              <w:t>000</w:t>
            </w:r>
          </w:p>
        </w:tc>
        <w:tc>
          <w:tcPr>
            <w:tcW w:w="1257" w:type="dxa"/>
            <w:shd w:val="clear" w:color="auto" w:fill="FFFFCC"/>
            <w:noWrap/>
            <w:vAlign w:val="center"/>
          </w:tcPr>
          <w:p w:rsidR="003E0288" w:rsidRPr="00BC1BE1" w:rsidRDefault="004946AE" w:rsidP="004946AE">
            <w:pPr>
              <w:spacing w:before="100" w:beforeAutospacing="1" w:after="100" w:afterAutospacing="1"/>
            </w:pPr>
            <w:r>
              <w:t>2.435.</w:t>
            </w:r>
            <w:r w:rsidR="003E0288" w:rsidRPr="00BC1BE1">
              <w:t>000</w:t>
            </w:r>
          </w:p>
        </w:tc>
        <w:tc>
          <w:tcPr>
            <w:tcW w:w="1170" w:type="dxa"/>
            <w:shd w:val="clear" w:color="auto" w:fill="FFFFCC"/>
          </w:tcPr>
          <w:p w:rsidR="003E0288" w:rsidRPr="00BC1BE1" w:rsidRDefault="003E0288" w:rsidP="003E0288">
            <w:pPr>
              <w:spacing w:before="240"/>
              <w:jc w:val="both"/>
              <w:rPr>
                <w:rFonts w:cstheme="minorBidi"/>
                <w:szCs w:val="22"/>
              </w:rPr>
            </w:pPr>
            <w:r w:rsidRPr="00BC1BE1">
              <w:rPr>
                <w:rFonts w:cstheme="minorBidi"/>
                <w:szCs w:val="22"/>
              </w:rPr>
              <w:t>Two years following the date of the conclusion of the Financing Agreement</w:t>
            </w:r>
          </w:p>
        </w:tc>
        <w:tc>
          <w:tcPr>
            <w:tcW w:w="1177" w:type="dxa"/>
            <w:shd w:val="clear" w:color="auto" w:fill="FFFFCC"/>
          </w:tcPr>
          <w:p w:rsidR="003E0288" w:rsidRPr="00BC1BE1" w:rsidRDefault="003E0288" w:rsidP="003E0288">
            <w:pPr>
              <w:spacing w:before="240"/>
              <w:jc w:val="both"/>
              <w:rPr>
                <w:rFonts w:cstheme="minorBidi"/>
                <w:szCs w:val="22"/>
              </w:rPr>
            </w:pPr>
            <w:r w:rsidRPr="00BC1BE1">
              <w:rPr>
                <w:rFonts w:cstheme="minorBidi"/>
                <w:szCs w:val="22"/>
              </w:rPr>
              <w:t>2 years following the end date for contracting</w:t>
            </w:r>
          </w:p>
        </w:tc>
        <w:tc>
          <w:tcPr>
            <w:tcW w:w="1337" w:type="dxa"/>
            <w:shd w:val="clear" w:color="auto" w:fill="FFFFCC"/>
          </w:tcPr>
          <w:p w:rsidR="003E0288" w:rsidRPr="00BC1BE1" w:rsidRDefault="003E0288" w:rsidP="003E0288">
            <w:pPr>
              <w:spacing w:before="240"/>
              <w:jc w:val="both"/>
              <w:rPr>
                <w:rFonts w:cstheme="minorBidi"/>
                <w:szCs w:val="22"/>
              </w:rPr>
            </w:pPr>
            <w:r w:rsidRPr="00BC1BE1">
              <w:rPr>
                <w:rFonts w:cstheme="minorBidi"/>
                <w:szCs w:val="22"/>
              </w:rPr>
              <w:t>One year following the end date for the execution</w:t>
            </w:r>
          </w:p>
        </w:tc>
      </w:tr>
    </w:tbl>
    <w:p w:rsidR="00BC1BE1" w:rsidRDefault="000B02DE" w:rsidP="00D53DB9">
      <w:pPr>
        <w:spacing w:line="240" w:lineRule="auto"/>
        <w:jc w:val="both"/>
        <w:rPr>
          <w:rFonts w:ascii="Times New Roman" w:hAnsi="Times New Roman" w:cs="Times New Roman"/>
          <w:lang w:val="en-US"/>
        </w:rPr>
      </w:pPr>
      <w:r>
        <w:rPr>
          <w:rFonts w:ascii="Times New Roman" w:hAnsi="Times New Roman" w:cs="Times New Roman"/>
          <w:b/>
          <w:lang w:val="en-US"/>
        </w:rPr>
        <w:tab/>
      </w:r>
      <w:r w:rsidR="00CA3D03">
        <w:rPr>
          <w:rFonts w:ascii="Times New Roman" w:hAnsi="Times New Roman" w:cs="Times New Roman"/>
          <w:lang w:val="en-US"/>
        </w:rPr>
        <w:t>Source</w:t>
      </w:r>
      <w:proofErr w:type="gramStart"/>
      <w:r w:rsidR="00CA3D03">
        <w:rPr>
          <w:rFonts w:ascii="Times New Roman" w:hAnsi="Times New Roman" w:cs="Times New Roman"/>
          <w:lang w:val="en-US"/>
        </w:rPr>
        <w:t>:</w:t>
      </w:r>
      <w:proofErr w:type="gramEnd"/>
      <w:hyperlink r:id="rId14" w:history="1">
        <w:r w:rsidRPr="00610E24">
          <w:rPr>
            <w:rStyle w:val="Hyperlink"/>
            <w:rFonts w:ascii="Times New Roman" w:hAnsi="Times New Roman" w:cs="Times New Roman"/>
            <w:lang w:val="en-US"/>
          </w:rPr>
          <w:t>http://ec.europa.eu/enlargement/potential-candidates/albania/financial-assistance/index_en.htm</w:t>
        </w:r>
      </w:hyperlink>
    </w:p>
    <w:p w:rsidR="00BC1BE1" w:rsidRDefault="00BC1BE1" w:rsidP="00D53DB9">
      <w:pPr>
        <w:spacing w:line="240" w:lineRule="auto"/>
        <w:jc w:val="both"/>
        <w:rPr>
          <w:rFonts w:ascii="Times New Roman" w:hAnsi="Times New Roman" w:cs="Times New Roman"/>
          <w:b/>
          <w:lang w:val="en-US"/>
        </w:rPr>
      </w:pPr>
    </w:p>
    <w:p w:rsidR="00015220" w:rsidRDefault="00116C07" w:rsidP="00D53DB9">
      <w:pPr>
        <w:spacing w:line="240" w:lineRule="auto"/>
        <w:jc w:val="both"/>
        <w:rPr>
          <w:rFonts w:ascii="Times New Roman" w:hAnsi="Times New Roman" w:cs="Times New Roman"/>
          <w:b/>
          <w:lang w:val="en-US"/>
        </w:rPr>
      </w:pPr>
      <w:r w:rsidRPr="00116C07">
        <w:rPr>
          <w:rFonts w:ascii="Times New Roman" w:hAnsi="Times New Roman" w:cs="Times New Roman"/>
          <w:b/>
          <w:lang w:val="en-US"/>
        </w:rPr>
        <w:t>Conclusion</w:t>
      </w:r>
    </w:p>
    <w:p w:rsidR="009607AA" w:rsidRDefault="009A481B" w:rsidP="00F167DA">
      <w:pPr>
        <w:spacing w:line="240" w:lineRule="auto"/>
        <w:ind w:firstLine="720"/>
        <w:jc w:val="both"/>
        <w:rPr>
          <w:rFonts w:ascii="Times New Roman" w:hAnsi="Times New Roman" w:cs="Times New Roman"/>
          <w:lang w:val="en-US"/>
        </w:rPr>
      </w:pPr>
      <w:r>
        <w:rPr>
          <w:rFonts w:ascii="Times New Roman" w:hAnsi="Times New Roman" w:cs="Times New Roman"/>
          <w:lang w:val="en-US"/>
        </w:rPr>
        <w:t>EU is actively assisting the countries of the Western Balkan in order to foster their democracy, economic and social development and regional cooperation.</w:t>
      </w:r>
    </w:p>
    <w:p w:rsidR="009A481B" w:rsidRDefault="009A481B" w:rsidP="00F167DA">
      <w:pPr>
        <w:spacing w:line="240" w:lineRule="auto"/>
        <w:ind w:firstLine="720"/>
        <w:jc w:val="both"/>
        <w:rPr>
          <w:rFonts w:ascii="Times New Roman" w:hAnsi="Times New Roman" w:cs="Times New Roman"/>
          <w:lang w:val="en-US"/>
        </w:rPr>
      </w:pPr>
      <w:r>
        <w:rPr>
          <w:rFonts w:ascii="Times New Roman" w:hAnsi="Times New Roman" w:cs="Times New Roman"/>
          <w:lang w:val="en-US"/>
        </w:rPr>
        <w:t>Albania, as one of them, is fully committed to the concept of lasting economic, social and political stability quarantined through closer ties to European Union.</w:t>
      </w:r>
    </w:p>
    <w:p w:rsidR="009A481B" w:rsidRDefault="009A481B" w:rsidP="00DE32C6">
      <w:pPr>
        <w:spacing w:line="240" w:lineRule="auto"/>
        <w:jc w:val="both"/>
        <w:rPr>
          <w:rFonts w:ascii="Times New Roman" w:hAnsi="Times New Roman" w:cs="Times New Roman"/>
          <w:b/>
          <w:lang w:val="en-US"/>
        </w:rPr>
      </w:pPr>
    </w:p>
    <w:p w:rsidR="00F167DA" w:rsidRDefault="009607AA" w:rsidP="00DE32C6">
      <w:pPr>
        <w:spacing w:line="240" w:lineRule="auto"/>
        <w:jc w:val="both"/>
        <w:rPr>
          <w:rFonts w:ascii="Times New Roman" w:hAnsi="Times New Roman" w:cs="Times New Roman"/>
          <w:b/>
          <w:lang w:val="en-US"/>
        </w:rPr>
      </w:pPr>
      <w:r w:rsidRPr="00DE32C6">
        <w:rPr>
          <w:rFonts w:ascii="Times New Roman" w:hAnsi="Times New Roman" w:cs="Times New Roman"/>
          <w:b/>
          <w:lang w:val="en-US"/>
        </w:rPr>
        <w:t>Literature</w:t>
      </w:r>
      <w:r w:rsidR="00F167DA" w:rsidRPr="00DE32C6">
        <w:rPr>
          <w:rFonts w:ascii="Times New Roman" w:hAnsi="Times New Roman" w:cs="Times New Roman"/>
          <w:b/>
          <w:lang w:val="en-US"/>
        </w:rPr>
        <w:t xml:space="preserve">  </w:t>
      </w:r>
    </w:p>
    <w:p w:rsidR="00574A89" w:rsidRPr="00574A89" w:rsidRDefault="00574A89" w:rsidP="00574A89">
      <w:pPr>
        <w:pStyle w:val="ListParagraph"/>
        <w:numPr>
          <w:ilvl w:val="0"/>
          <w:numId w:val="1"/>
        </w:numPr>
        <w:spacing w:line="240" w:lineRule="auto"/>
        <w:jc w:val="both"/>
        <w:rPr>
          <w:rFonts w:ascii="Times New Roman" w:hAnsi="Times New Roman" w:cs="Times New Roman"/>
          <w:lang w:val="en-US"/>
        </w:rPr>
      </w:pPr>
      <w:proofErr w:type="spellStart"/>
      <w:r w:rsidRPr="00574A89">
        <w:rPr>
          <w:rFonts w:ascii="Times New Roman" w:hAnsi="Times New Roman" w:cs="Times New Roman"/>
          <w:lang w:val="en-US"/>
        </w:rPr>
        <w:t>Heidrun</w:t>
      </w:r>
      <w:proofErr w:type="spellEnd"/>
      <w:r w:rsidRPr="00574A89">
        <w:rPr>
          <w:rFonts w:ascii="Times New Roman" w:hAnsi="Times New Roman" w:cs="Times New Roman"/>
          <w:lang w:val="en-US"/>
        </w:rPr>
        <w:t xml:space="preserve"> Ferrari, </w:t>
      </w:r>
      <w:proofErr w:type="spellStart"/>
      <w:r w:rsidRPr="00574A89">
        <w:rPr>
          <w:rFonts w:ascii="Times New Roman" w:hAnsi="Times New Roman" w:cs="Times New Roman"/>
          <w:lang w:val="en-US"/>
        </w:rPr>
        <w:t>Samia</w:t>
      </w:r>
      <w:proofErr w:type="spellEnd"/>
      <w:r w:rsidRPr="00574A89">
        <w:rPr>
          <w:rFonts w:ascii="Times New Roman" w:hAnsi="Times New Roman" w:cs="Times New Roman"/>
          <w:lang w:val="en-US"/>
        </w:rPr>
        <w:t xml:space="preserve"> </w:t>
      </w:r>
      <w:proofErr w:type="spellStart"/>
      <w:r w:rsidRPr="00574A89">
        <w:rPr>
          <w:rFonts w:ascii="Times New Roman" w:hAnsi="Times New Roman" w:cs="Times New Roman"/>
          <w:lang w:val="en-US"/>
        </w:rPr>
        <w:t>Liaquad</w:t>
      </w:r>
      <w:proofErr w:type="spellEnd"/>
      <w:r w:rsidRPr="00574A89">
        <w:rPr>
          <w:rFonts w:ascii="Times New Roman" w:hAnsi="Times New Roman" w:cs="Times New Roman"/>
          <w:lang w:val="en-US"/>
        </w:rPr>
        <w:t xml:space="preserve"> Ali Khan, EU Financial Assistance to the Western Balkans: A Minority-Focused Review of CARDS and IPA, 2010.</w:t>
      </w:r>
    </w:p>
    <w:p w:rsidR="00574A89" w:rsidRDefault="00574A89" w:rsidP="00574A89">
      <w:pPr>
        <w:pStyle w:val="ListParagraph"/>
        <w:numPr>
          <w:ilvl w:val="0"/>
          <w:numId w:val="1"/>
        </w:numPr>
        <w:spacing w:line="240" w:lineRule="auto"/>
        <w:jc w:val="both"/>
        <w:rPr>
          <w:rFonts w:ascii="Times New Roman" w:hAnsi="Times New Roman" w:cs="Times New Roman"/>
          <w:lang w:val="en-US"/>
        </w:rPr>
      </w:pPr>
      <w:r w:rsidRPr="00574A89">
        <w:rPr>
          <w:rFonts w:ascii="Times New Roman" w:hAnsi="Times New Roman" w:cs="Times New Roman"/>
          <w:lang w:val="en-US"/>
        </w:rPr>
        <w:t>Using IPA and other EU funds to accelerate convergence and integration in the Western-Balkans, CEU, Budapest, 2008.</w:t>
      </w:r>
    </w:p>
    <w:p w:rsidR="00574A89" w:rsidRDefault="00574A89" w:rsidP="00574A89">
      <w:pPr>
        <w:pStyle w:val="ListParagraph"/>
        <w:numPr>
          <w:ilvl w:val="0"/>
          <w:numId w:val="1"/>
        </w:numPr>
        <w:spacing w:line="240" w:lineRule="auto"/>
        <w:jc w:val="both"/>
        <w:rPr>
          <w:rFonts w:ascii="Times New Roman" w:hAnsi="Times New Roman" w:cs="Times New Roman"/>
          <w:lang w:val="en-US"/>
        </w:rPr>
      </w:pPr>
      <w:r w:rsidRPr="00574A89">
        <w:rPr>
          <w:rFonts w:ascii="Times New Roman" w:hAnsi="Times New Roman" w:cs="Times New Roman"/>
          <w:lang w:val="en-US"/>
        </w:rPr>
        <w:t xml:space="preserve">European Stability Initiative "Breaking out of the Balkan Ghetto: </w:t>
      </w:r>
      <w:r>
        <w:rPr>
          <w:rFonts w:ascii="Times New Roman" w:hAnsi="Times New Roman" w:cs="Times New Roman"/>
          <w:lang w:val="en-US"/>
        </w:rPr>
        <w:t>Why IPA should be changed",</w:t>
      </w:r>
      <w:r w:rsidRPr="00574A89">
        <w:rPr>
          <w:rFonts w:ascii="Times New Roman" w:hAnsi="Times New Roman" w:cs="Times New Roman"/>
          <w:lang w:val="en-US"/>
        </w:rPr>
        <w:t xml:space="preserve"> 2005.</w:t>
      </w:r>
    </w:p>
    <w:p w:rsidR="00574A89" w:rsidRDefault="00574A89" w:rsidP="00574A89">
      <w:pPr>
        <w:pStyle w:val="ListParagraph"/>
        <w:numPr>
          <w:ilvl w:val="0"/>
          <w:numId w:val="1"/>
        </w:numPr>
        <w:spacing w:line="240" w:lineRule="auto"/>
        <w:jc w:val="both"/>
        <w:rPr>
          <w:rFonts w:ascii="Times New Roman" w:hAnsi="Times New Roman" w:cs="Times New Roman"/>
          <w:lang w:val="en-US"/>
        </w:rPr>
      </w:pPr>
      <w:r w:rsidRPr="00574A89">
        <w:rPr>
          <w:rFonts w:ascii="Times New Roman" w:hAnsi="Times New Roman" w:cs="Times New Roman"/>
          <w:lang w:val="en-US"/>
        </w:rPr>
        <w:t>Council Regulation (EC) No. 1085/2006 of 17 July 2006 establishing an Instrument for Pre-Accession Assistance (IPA), Official Journal L 210, 31.07.2006.</w:t>
      </w:r>
    </w:p>
    <w:p w:rsidR="0008711A" w:rsidRDefault="0008711A" w:rsidP="0008711A">
      <w:pPr>
        <w:pStyle w:val="ListParagraph"/>
        <w:numPr>
          <w:ilvl w:val="0"/>
          <w:numId w:val="1"/>
        </w:numPr>
        <w:spacing w:line="240" w:lineRule="auto"/>
        <w:jc w:val="both"/>
        <w:rPr>
          <w:rFonts w:ascii="Times New Roman" w:hAnsi="Times New Roman" w:cs="Times New Roman"/>
          <w:lang w:val="en-US"/>
        </w:rPr>
      </w:pPr>
      <w:r w:rsidRPr="00574A89">
        <w:rPr>
          <w:rFonts w:ascii="Times New Roman" w:hAnsi="Times New Roman" w:cs="Times New Roman"/>
          <w:lang w:val="en-US"/>
        </w:rPr>
        <w:t>Council Regulation (EC) No 2666/2000 of 5 December 2000 on assistance for Albania, Bosnia and Herzegovina, Croatia, and the Republic of  Macedonia, Official Journal L 306, 07.12.2000.</w:t>
      </w:r>
    </w:p>
    <w:p w:rsidR="00574A89" w:rsidRPr="00574A89" w:rsidRDefault="00574A89" w:rsidP="00F12C2D">
      <w:pPr>
        <w:pStyle w:val="ListParagraph"/>
        <w:numPr>
          <w:ilvl w:val="0"/>
          <w:numId w:val="1"/>
        </w:numPr>
        <w:spacing w:line="240" w:lineRule="auto"/>
        <w:jc w:val="both"/>
        <w:rPr>
          <w:rFonts w:ascii="Times New Roman" w:hAnsi="Times New Roman" w:cs="Times New Roman"/>
          <w:lang w:val="en-US"/>
        </w:rPr>
      </w:pPr>
      <w:r w:rsidRPr="00574A89">
        <w:rPr>
          <w:rFonts w:ascii="Times New Roman" w:hAnsi="Times New Roman" w:cs="Times New Roman"/>
          <w:lang w:val="en-US"/>
        </w:rPr>
        <w:t>COMMISSION DECISION C (2009)4518 of 16 June 2009 establishing a Multi-Beneficiary Multi-annual Indicative Planning Document (MIPD) 2009-2011 http://ec.europa.eu/enlargement/pdf/mipd_multibeneficiary_2009_2011_en.pdf</w:t>
      </w:r>
    </w:p>
    <w:p w:rsidR="009C1447" w:rsidRDefault="007B5143" w:rsidP="00574A89">
      <w:pPr>
        <w:spacing w:line="240" w:lineRule="auto"/>
        <w:ind w:firstLine="360"/>
        <w:jc w:val="both"/>
        <w:rPr>
          <w:rFonts w:ascii="Times New Roman" w:hAnsi="Times New Roman" w:cs="Times New Roman"/>
          <w:lang w:val="en-US"/>
        </w:rPr>
      </w:pPr>
      <w:r>
        <w:rPr>
          <w:lang w:val="en-US"/>
        </w:rPr>
        <w:t xml:space="preserve">     </w:t>
      </w:r>
      <w:hyperlink r:id="rId15" w:history="1">
        <w:r w:rsidR="009C1447" w:rsidRPr="009D5AEC">
          <w:rPr>
            <w:rStyle w:val="Hyperlink"/>
            <w:rFonts w:ascii="Times New Roman" w:hAnsi="Times New Roman" w:cs="Times New Roman"/>
            <w:lang w:val="en-US"/>
          </w:rPr>
          <w:t>http://ec.europa.eu/</w:t>
        </w:r>
      </w:hyperlink>
    </w:p>
    <w:p w:rsidR="009C1447" w:rsidRDefault="007B5143" w:rsidP="00574A89">
      <w:pPr>
        <w:spacing w:line="240" w:lineRule="auto"/>
        <w:ind w:firstLine="360"/>
        <w:jc w:val="both"/>
        <w:rPr>
          <w:rStyle w:val="Hyperlink"/>
          <w:rFonts w:ascii="Times New Roman" w:hAnsi="Times New Roman" w:cs="Times New Roman"/>
          <w:lang w:val="en-US"/>
        </w:rPr>
      </w:pPr>
      <w:r>
        <w:rPr>
          <w:lang w:val="en-US"/>
        </w:rPr>
        <w:t xml:space="preserve">     </w:t>
      </w:r>
      <w:hyperlink r:id="rId16" w:history="1">
        <w:r w:rsidR="009C1447" w:rsidRPr="009D5AEC">
          <w:rPr>
            <w:rStyle w:val="Hyperlink"/>
            <w:rFonts w:ascii="Times New Roman" w:hAnsi="Times New Roman" w:cs="Times New Roman"/>
            <w:lang w:val="en-US"/>
          </w:rPr>
          <w:t>http://web.ceu.hu</w:t>
        </w:r>
      </w:hyperlink>
    </w:p>
    <w:p w:rsidR="009C1447" w:rsidRPr="009C1447" w:rsidRDefault="007B5143" w:rsidP="00574A89">
      <w:pPr>
        <w:spacing w:line="240" w:lineRule="auto"/>
        <w:ind w:firstLine="360"/>
        <w:jc w:val="both"/>
        <w:rPr>
          <w:rFonts w:ascii="Times New Roman" w:hAnsi="Times New Roman" w:cs="Times New Roman"/>
          <w:lang w:val="en-US"/>
        </w:rPr>
      </w:pPr>
      <w:r>
        <w:rPr>
          <w:lang w:val="en-US"/>
        </w:rPr>
        <w:t xml:space="preserve">     </w:t>
      </w:r>
      <w:hyperlink r:id="rId17" w:history="1">
        <w:r w:rsidR="0008711A" w:rsidRPr="00B95721">
          <w:rPr>
            <w:rStyle w:val="Hyperlink"/>
            <w:rFonts w:ascii="Times New Roman" w:hAnsi="Times New Roman" w:cs="Times New Roman"/>
            <w:lang w:val="en-US"/>
          </w:rPr>
          <w:t>http://ear.europa.eu/</w:t>
        </w:r>
      </w:hyperlink>
    </w:p>
    <w:sectPr w:rsidR="009C1447" w:rsidRPr="009C1447" w:rsidSect="00B8498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BD" w:rsidRDefault="002266BD" w:rsidP="00445C88">
      <w:pPr>
        <w:spacing w:after="0" w:line="240" w:lineRule="auto"/>
      </w:pPr>
      <w:r>
        <w:separator/>
      </w:r>
    </w:p>
  </w:endnote>
  <w:endnote w:type="continuationSeparator" w:id="0">
    <w:p w:rsidR="002266BD" w:rsidRDefault="002266BD" w:rsidP="00445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BD" w:rsidRDefault="002266BD" w:rsidP="00445C88">
      <w:pPr>
        <w:spacing w:after="0" w:line="240" w:lineRule="auto"/>
      </w:pPr>
      <w:r>
        <w:separator/>
      </w:r>
    </w:p>
  </w:footnote>
  <w:footnote w:type="continuationSeparator" w:id="0">
    <w:p w:rsidR="002266BD" w:rsidRDefault="002266BD" w:rsidP="00445C88">
      <w:pPr>
        <w:spacing w:after="0" w:line="240" w:lineRule="auto"/>
      </w:pPr>
      <w:r>
        <w:continuationSeparator/>
      </w:r>
    </w:p>
  </w:footnote>
  <w:footnote w:id="1">
    <w:p w:rsidR="002266BD" w:rsidRPr="00445C88" w:rsidRDefault="002266BD">
      <w:pPr>
        <w:pStyle w:val="FootnoteText"/>
        <w:rPr>
          <w:lang w:val="en-US"/>
        </w:rPr>
      </w:pPr>
      <w:r>
        <w:rPr>
          <w:rStyle w:val="FootnoteReference"/>
        </w:rPr>
        <w:footnoteRef/>
      </w:r>
      <w:r>
        <w:t xml:space="preserve"> </w:t>
      </w:r>
      <w:r w:rsidRPr="00445C88">
        <w:t>http://web.ceu.hu/cens/assets/files/IPA.pdf</w:t>
      </w:r>
    </w:p>
  </w:footnote>
  <w:footnote w:id="2">
    <w:p w:rsidR="002266BD" w:rsidRPr="00445C88" w:rsidRDefault="002266BD">
      <w:pPr>
        <w:pStyle w:val="FootnoteText"/>
        <w:rPr>
          <w:lang w:val="en-US"/>
        </w:rPr>
      </w:pPr>
      <w:r>
        <w:rPr>
          <w:rStyle w:val="FootnoteReference"/>
        </w:rPr>
        <w:footnoteRef/>
      </w:r>
      <w:r>
        <w:t xml:space="preserve"> </w:t>
      </w:r>
      <w:r w:rsidRPr="00445C88">
        <w:t>http://web.ceu.hu/cens/assets/files/IPA.pdf</w:t>
      </w:r>
    </w:p>
  </w:footnote>
  <w:footnote w:id="3">
    <w:p w:rsidR="002266BD" w:rsidRDefault="002266BD">
      <w:pPr>
        <w:pStyle w:val="FootnoteText"/>
        <w:rPr>
          <w:lang w:val="en-US"/>
        </w:rPr>
      </w:pPr>
      <w:r>
        <w:rPr>
          <w:rStyle w:val="FootnoteReference"/>
        </w:rPr>
        <w:footnoteRef/>
      </w:r>
      <w:r>
        <w:t xml:space="preserve"> </w:t>
      </w:r>
      <w:hyperlink r:id="rId1" w:history="1">
        <w:r w:rsidRPr="00457651">
          <w:rPr>
            <w:rStyle w:val="Hyperlink"/>
          </w:rPr>
          <w:t>http://ec.europa.eu/enlargement/potential-candidates/index_en.htm</w:t>
        </w:r>
      </w:hyperlink>
    </w:p>
    <w:p w:rsidR="002266BD" w:rsidRDefault="002266BD">
      <w:pPr>
        <w:pStyle w:val="FootnoteText"/>
        <w:rPr>
          <w:lang w:val="en-US"/>
        </w:rPr>
      </w:pPr>
      <w:r>
        <w:rPr>
          <w:lang w:val="en-US"/>
        </w:rPr>
        <w:t xml:space="preserve">   </w:t>
      </w:r>
      <w:hyperlink r:id="rId2" w:history="1">
        <w:r w:rsidRPr="00457651">
          <w:rPr>
            <w:rStyle w:val="Hyperlink"/>
            <w:lang w:val="en-US"/>
          </w:rPr>
          <w:t>http://ec.europa.eu/enlargement/candidate-countries/index_en.htm</w:t>
        </w:r>
      </w:hyperlink>
    </w:p>
    <w:p w:rsidR="002266BD" w:rsidRPr="00445C88" w:rsidRDefault="002266BD">
      <w:pPr>
        <w:pStyle w:val="FootnoteText"/>
        <w:rPr>
          <w:lang w:val="en-US"/>
        </w:rPr>
      </w:pPr>
    </w:p>
  </w:footnote>
  <w:footnote w:id="4">
    <w:p w:rsidR="002266BD" w:rsidRDefault="002266BD">
      <w:pPr>
        <w:pStyle w:val="FootnoteText"/>
        <w:rPr>
          <w:lang w:val="en-US"/>
        </w:rPr>
      </w:pPr>
      <w:r>
        <w:rPr>
          <w:rStyle w:val="FootnoteReference"/>
        </w:rPr>
        <w:footnoteRef/>
      </w:r>
      <w:r>
        <w:t xml:space="preserve"> </w:t>
      </w:r>
      <w:hyperlink r:id="rId3" w:history="1">
        <w:r w:rsidRPr="00457651">
          <w:rPr>
            <w:rStyle w:val="Hyperlink"/>
          </w:rPr>
          <w:t>http://ec.europa.eu/enlargement/press_corner/key-documents/cards_reports_and_publications_en.htm</w:t>
        </w:r>
      </w:hyperlink>
    </w:p>
    <w:p w:rsidR="002266BD" w:rsidRPr="00445C88" w:rsidRDefault="002266BD">
      <w:pPr>
        <w:pStyle w:val="FootnoteText"/>
        <w:rPr>
          <w:lang w:val="en-US"/>
        </w:rPr>
      </w:pPr>
    </w:p>
  </w:footnote>
  <w:footnote w:id="5">
    <w:p w:rsidR="002266BD" w:rsidRDefault="002266BD">
      <w:pPr>
        <w:pStyle w:val="FootnoteText"/>
        <w:rPr>
          <w:lang w:val="en-US"/>
        </w:rPr>
      </w:pPr>
      <w:r>
        <w:rPr>
          <w:rStyle w:val="FootnoteReference"/>
        </w:rPr>
        <w:footnoteRef/>
      </w:r>
      <w:r>
        <w:t xml:space="preserve"> </w:t>
      </w:r>
      <w:hyperlink r:id="rId4" w:history="1">
        <w:r w:rsidRPr="00457651">
          <w:rPr>
            <w:rStyle w:val="Hyperlink"/>
          </w:rPr>
          <w:t>http://ec.europa.eu/enlargement/potential-candidates/albania/financial-assistance/index_en.htm</w:t>
        </w:r>
      </w:hyperlink>
    </w:p>
    <w:p w:rsidR="002266BD" w:rsidRPr="007C6C38" w:rsidRDefault="002266BD">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497514"/>
    <w:multiLevelType w:val="hybridMultilevel"/>
    <w:tmpl w:val="43326BD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FE"/>
    <w:rsid w:val="00006F33"/>
    <w:rsid w:val="00014A57"/>
    <w:rsid w:val="00015220"/>
    <w:rsid w:val="0008711A"/>
    <w:rsid w:val="000A34FE"/>
    <w:rsid w:val="000B02DE"/>
    <w:rsid w:val="000B40B2"/>
    <w:rsid w:val="000B5CA1"/>
    <w:rsid w:val="000F7074"/>
    <w:rsid w:val="0010169E"/>
    <w:rsid w:val="00116C07"/>
    <w:rsid w:val="00145897"/>
    <w:rsid w:val="00150DE8"/>
    <w:rsid w:val="00156FF0"/>
    <w:rsid w:val="0016366A"/>
    <w:rsid w:val="001821D8"/>
    <w:rsid w:val="002055FB"/>
    <w:rsid w:val="00213570"/>
    <w:rsid w:val="002266BD"/>
    <w:rsid w:val="00255BC2"/>
    <w:rsid w:val="002627F3"/>
    <w:rsid w:val="002A445E"/>
    <w:rsid w:val="002C6447"/>
    <w:rsid w:val="002F0F0E"/>
    <w:rsid w:val="00325D02"/>
    <w:rsid w:val="0034711E"/>
    <w:rsid w:val="00352741"/>
    <w:rsid w:val="0036197D"/>
    <w:rsid w:val="003B26FE"/>
    <w:rsid w:val="003E0288"/>
    <w:rsid w:val="003F4870"/>
    <w:rsid w:val="00445C88"/>
    <w:rsid w:val="00452515"/>
    <w:rsid w:val="00481736"/>
    <w:rsid w:val="004946AE"/>
    <w:rsid w:val="004A0231"/>
    <w:rsid w:val="004E1259"/>
    <w:rsid w:val="00517603"/>
    <w:rsid w:val="00530B4F"/>
    <w:rsid w:val="00574A89"/>
    <w:rsid w:val="005A49FD"/>
    <w:rsid w:val="005B5C2A"/>
    <w:rsid w:val="005F1EF3"/>
    <w:rsid w:val="00601530"/>
    <w:rsid w:val="0063566E"/>
    <w:rsid w:val="00643D6D"/>
    <w:rsid w:val="00686C3D"/>
    <w:rsid w:val="006B3238"/>
    <w:rsid w:val="00712823"/>
    <w:rsid w:val="007643FE"/>
    <w:rsid w:val="007775A7"/>
    <w:rsid w:val="00781E22"/>
    <w:rsid w:val="00795EA6"/>
    <w:rsid w:val="007B5143"/>
    <w:rsid w:val="007C6C38"/>
    <w:rsid w:val="007F2954"/>
    <w:rsid w:val="00806208"/>
    <w:rsid w:val="00812644"/>
    <w:rsid w:val="00840ED5"/>
    <w:rsid w:val="00871FAC"/>
    <w:rsid w:val="008A4A94"/>
    <w:rsid w:val="008A50FA"/>
    <w:rsid w:val="008D1A91"/>
    <w:rsid w:val="008F52AC"/>
    <w:rsid w:val="00902A36"/>
    <w:rsid w:val="00910A64"/>
    <w:rsid w:val="00956714"/>
    <w:rsid w:val="009607AA"/>
    <w:rsid w:val="009903F7"/>
    <w:rsid w:val="009A0058"/>
    <w:rsid w:val="009A481B"/>
    <w:rsid w:val="009C1447"/>
    <w:rsid w:val="009E04D8"/>
    <w:rsid w:val="00A01373"/>
    <w:rsid w:val="00A51B8B"/>
    <w:rsid w:val="00A92262"/>
    <w:rsid w:val="00AA3CA1"/>
    <w:rsid w:val="00B2556E"/>
    <w:rsid w:val="00B30B2F"/>
    <w:rsid w:val="00B84987"/>
    <w:rsid w:val="00B954AC"/>
    <w:rsid w:val="00BC1BE1"/>
    <w:rsid w:val="00BD15B7"/>
    <w:rsid w:val="00C13CFF"/>
    <w:rsid w:val="00C279EB"/>
    <w:rsid w:val="00CA3D03"/>
    <w:rsid w:val="00CA5DE3"/>
    <w:rsid w:val="00CD0719"/>
    <w:rsid w:val="00CF5222"/>
    <w:rsid w:val="00D13E6B"/>
    <w:rsid w:val="00D3147F"/>
    <w:rsid w:val="00D360E7"/>
    <w:rsid w:val="00D53DB9"/>
    <w:rsid w:val="00D577DC"/>
    <w:rsid w:val="00DC2E5C"/>
    <w:rsid w:val="00DE32C6"/>
    <w:rsid w:val="00DE4BC7"/>
    <w:rsid w:val="00E63F42"/>
    <w:rsid w:val="00E826AC"/>
    <w:rsid w:val="00EB049B"/>
    <w:rsid w:val="00EB4024"/>
    <w:rsid w:val="00EB4D05"/>
    <w:rsid w:val="00EC1969"/>
    <w:rsid w:val="00ED2E2D"/>
    <w:rsid w:val="00F12C2D"/>
    <w:rsid w:val="00F167DA"/>
    <w:rsid w:val="00F43C08"/>
    <w:rsid w:val="00F62793"/>
    <w:rsid w:val="00F7599F"/>
    <w:rsid w:val="00F769DC"/>
    <w:rsid w:val="00F83169"/>
    <w:rsid w:val="00FA547E"/>
    <w:rsid w:val="00FD22C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BC2"/>
    <w:rPr>
      <w:rFonts w:ascii="Tahoma" w:hAnsi="Tahoma" w:cs="Tahoma"/>
      <w:sz w:val="16"/>
      <w:szCs w:val="16"/>
    </w:rPr>
  </w:style>
  <w:style w:type="character" w:styleId="Hyperlink">
    <w:name w:val="Hyperlink"/>
    <w:basedOn w:val="DefaultParagraphFont"/>
    <w:uiPriority w:val="99"/>
    <w:unhideWhenUsed/>
    <w:rsid w:val="00445C88"/>
    <w:rPr>
      <w:color w:val="0000FF" w:themeColor="hyperlink"/>
      <w:u w:val="single"/>
    </w:rPr>
  </w:style>
  <w:style w:type="paragraph" w:styleId="FootnoteText">
    <w:name w:val="footnote text"/>
    <w:basedOn w:val="Normal"/>
    <w:link w:val="FootnoteTextChar"/>
    <w:uiPriority w:val="99"/>
    <w:semiHidden/>
    <w:unhideWhenUsed/>
    <w:rsid w:val="00445C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C88"/>
    <w:rPr>
      <w:sz w:val="20"/>
      <w:szCs w:val="20"/>
    </w:rPr>
  </w:style>
  <w:style w:type="character" w:styleId="FootnoteReference">
    <w:name w:val="footnote reference"/>
    <w:basedOn w:val="DefaultParagraphFont"/>
    <w:uiPriority w:val="99"/>
    <w:semiHidden/>
    <w:unhideWhenUsed/>
    <w:rsid w:val="00445C88"/>
    <w:rPr>
      <w:vertAlign w:val="superscript"/>
    </w:rPr>
  </w:style>
  <w:style w:type="table" w:styleId="TableGrid">
    <w:name w:val="Table Grid"/>
    <w:basedOn w:val="TableNormal"/>
    <w:rsid w:val="00BC1BE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F5222"/>
    <w:rPr>
      <w:color w:val="800080" w:themeColor="followedHyperlink"/>
      <w:u w:val="single"/>
    </w:rPr>
  </w:style>
  <w:style w:type="paragraph" w:styleId="ListParagraph">
    <w:name w:val="List Paragraph"/>
    <w:basedOn w:val="Normal"/>
    <w:uiPriority w:val="34"/>
    <w:qFormat/>
    <w:rsid w:val="00574A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BC2"/>
    <w:rPr>
      <w:rFonts w:ascii="Tahoma" w:hAnsi="Tahoma" w:cs="Tahoma"/>
      <w:sz w:val="16"/>
      <w:szCs w:val="16"/>
    </w:rPr>
  </w:style>
  <w:style w:type="character" w:styleId="Hyperlink">
    <w:name w:val="Hyperlink"/>
    <w:basedOn w:val="DefaultParagraphFont"/>
    <w:uiPriority w:val="99"/>
    <w:unhideWhenUsed/>
    <w:rsid w:val="00445C88"/>
    <w:rPr>
      <w:color w:val="0000FF" w:themeColor="hyperlink"/>
      <w:u w:val="single"/>
    </w:rPr>
  </w:style>
  <w:style w:type="paragraph" w:styleId="FootnoteText">
    <w:name w:val="footnote text"/>
    <w:basedOn w:val="Normal"/>
    <w:link w:val="FootnoteTextChar"/>
    <w:uiPriority w:val="99"/>
    <w:semiHidden/>
    <w:unhideWhenUsed/>
    <w:rsid w:val="00445C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C88"/>
    <w:rPr>
      <w:sz w:val="20"/>
      <w:szCs w:val="20"/>
    </w:rPr>
  </w:style>
  <w:style w:type="character" w:styleId="FootnoteReference">
    <w:name w:val="footnote reference"/>
    <w:basedOn w:val="DefaultParagraphFont"/>
    <w:uiPriority w:val="99"/>
    <w:semiHidden/>
    <w:unhideWhenUsed/>
    <w:rsid w:val="00445C88"/>
    <w:rPr>
      <w:vertAlign w:val="superscript"/>
    </w:rPr>
  </w:style>
  <w:style w:type="table" w:styleId="TableGrid">
    <w:name w:val="Table Grid"/>
    <w:basedOn w:val="TableNormal"/>
    <w:rsid w:val="00BC1BE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CF5222"/>
    <w:rPr>
      <w:color w:val="800080" w:themeColor="followedHyperlink"/>
      <w:u w:val="single"/>
    </w:rPr>
  </w:style>
  <w:style w:type="paragraph" w:styleId="ListParagraph">
    <w:name w:val="List Paragraph"/>
    <w:basedOn w:val="Normal"/>
    <w:uiPriority w:val="34"/>
    <w:qFormat/>
    <w:rsid w:val="00574A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enlargement/candidate-countries/index_en.htm" TargetMode="External"/><Relationship Id="rId17" Type="http://schemas.openxmlformats.org/officeDocument/2006/relationships/hyperlink" Target="http://ear.europa.eu/" TargetMode="External"/><Relationship Id="rId2" Type="http://schemas.openxmlformats.org/officeDocument/2006/relationships/numbering" Target="numbering.xml"/><Relationship Id="rId16" Type="http://schemas.openxmlformats.org/officeDocument/2006/relationships/hyperlink" Target="http://web.ceu.h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enlargement/potential-candidates/index_en.htm" TargetMode="External"/><Relationship Id="rId5" Type="http://schemas.openxmlformats.org/officeDocument/2006/relationships/settings" Target="settings.xml"/><Relationship Id="rId15" Type="http://schemas.openxmlformats.org/officeDocument/2006/relationships/hyperlink" Target="http://ec.europa.eu/" TargetMode="External"/><Relationship Id="rId10" Type="http://schemas.openxmlformats.org/officeDocument/2006/relationships/hyperlink" Target="http://web.ceu.hu/cens/assets/files/IPA.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eb.ceu.hu/cens/assets/files/IPA.pdf" TargetMode="External"/><Relationship Id="rId14" Type="http://schemas.openxmlformats.org/officeDocument/2006/relationships/hyperlink" Target="http://ec.europa.eu/enlargement/potential-candidates/albania/financial-assistance/index_en.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largement/press_corner/key-documents/cards_reports_and_publications_en.htm" TargetMode="External"/><Relationship Id="rId2" Type="http://schemas.openxmlformats.org/officeDocument/2006/relationships/hyperlink" Target="http://ec.europa.eu/enlargement/candidate-countries/index_en.htm" TargetMode="External"/><Relationship Id="rId1" Type="http://schemas.openxmlformats.org/officeDocument/2006/relationships/hyperlink" Target="http://ec.europa.eu/enlargement/potential-candidates/index_en.htm" TargetMode="External"/><Relationship Id="rId4" Type="http://schemas.openxmlformats.org/officeDocument/2006/relationships/hyperlink" Target="http://ec.europa.eu/enlargement/potential-candidates/albania/financial-assistance/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3FCD2-59CB-4B8F-9C03-948B81129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2132</Words>
  <Characters>12158</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UGD</Company>
  <LinksUpToDate>false</LinksUpToDate>
  <CharactersWithSpaces>14262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Radosavljevik</dc:creator>
  <cp:lastModifiedBy>Kostadinka Cabuleva</cp:lastModifiedBy>
  <cp:revision>2</cp:revision>
  <dcterms:created xsi:type="dcterms:W3CDTF">2012-11-28T07:07:00Z</dcterms:created>
  <dcterms:modified xsi:type="dcterms:W3CDTF">2012-11-28T07:07:00Z</dcterms:modified>
</cp:coreProperties>
</file>