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D2" w:rsidRPr="00531250" w:rsidRDefault="006A1BD2" w:rsidP="006A1BD2">
      <w:pPr>
        <w:spacing w:after="120" w:line="240" w:lineRule="auto"/>
        <w:rPr>
          <w:rFonts w:cs="Arial"/>
          <w:b/>
          <w:sz w:val="22"/>
          <w:szCs w:val="22"/>
        </w:rPr>
      </w:pPr>
      <w:r w:rsidRPr="00531250">
        <w:rPr>
          <w:rFonts w:cs="Arial"/>
          <w:b/>
          <w:sz w:val="22"/>
          <w:szCs w:val="22"/>
        </w:rPr>
        <w:t xml:space="preserve">М-р Кристина Мишева                                        </w:t>
      </w:r>
      <w:r>
        <w:rPr>
          <w:rFonts w:cs="Arial"/>
          <w:b/>
          <w:sz w:val="22"/>
          <w:szCs w:val="22"/>
        </w:rPr>
        <w:t xml:space="preserve">  </w:t>
      </w:r>
      <w:r w:rsidRPr="00531250">
        <w:rPr>
          <w:rFonts w:cs="Arial"/>
          <w:b/>
          <w:sz w:val="22"/>
          <w:szCs w:val="22"/>
        </w:rPr>
        <w:t>LL.M</w:t>
      </w:r>
      <w:r>
        <w:rPr>
          <w:rFonts w:cs="Arial"/>
          <w:b/>
          <w:sz w:val="22"/>
          <w:szCs w:val="22"/>
          <w:lang w:val="en-US"/>
        </w:rPr>
        <w:t>.</w:t>
      </w:r>
      <w:r>
        <w:rPr>
          <w:rFonts w:cs="Arial"/>
          <w:b/>
          <w:sz w:val="22"/>
          <w:szCs w:val="22"/>
        </w:rPr>
        <w:t>,</w:t>
      </w:r>
      <w:r w:rsidRPr="00531250">
        <w:rPr>
          <w:rFonts w:cs="Arial"/>
          <w:b/>
          <w:sz w:val="22"/>
          <w:szCs w:val="22"/>
        </w:rPr>
        <w:t xml:space="preserve">  Kristina Mis</w:t>
      </w:r>
      <w:bookmarkStart w:id="0" w:name="_GoBack"/>
      <w:bookmarkEnd w:id="0"/>
      <w:r w:rsidRPr="00531250">
        <w:rPr>
          <w:rFonts w:cs="Arial"/>
          <w:b/>
          <w:sz w:val="22"/>
          <w:szCs w:val="22"/>
        </w:rPr>
        <w:t>eva</w:t>
      </w:r>
    </w:p>
    <w:p w:rsidR="006A1BD2" w:rsidRDefault="006A1BD2" w:rsidP="006A1BD2">
      <w:pPr>
        <w:spacing w:after="120" w:line="240" w:lineRule="auto"/>
        <w:jc w:val="both"/>
        <w:rPr>
          <w:rFonts w:cs="Arial"/>
          <w:b/>
          <w:sz w:val="22"/>
          <w:szCs w:val="22"/>
        </w:rPr>
      </w:pPr>
    </w:p>
    <w:p w:rsidR="006A1BD2" w:rsidRPr="00531250" w:rsidRDefault="006A1BD2" w:rsidP="006A1BD2">
      <w:pPr>
        <w:spacing w:after="120" w:line="240" w:lineRule="auto"/>
        <w:jc w:val="both"/>
        <w:rPr>
          <w:rFonts w:cs="Arial"/>
          <w:b/>
          <w:sz w:val="22"/>
          <w:szCs w:val="22"/>
        </w:rPr>
      </w:pPr>
    </w:p>
    <w:p w:rsidR="006A1BD2" w:rsidRPr="00531250" w:rsidRDefault="006A1BD2" w:rsidP="006A1BD2">
      <w:pPr>
        <w:spacing w:after="120" w:line="240" w:lineRule="auto"/>
        <w:jc w:val="center"/>
        <w:rPr>
          <w:rFonts w:cs="Arial"/>
          <w:b/>
          <w:sz w:val="22"/>
          <w:szCs w:val="22"/>
        </w:rPr>
      </w:pPr>
      <w:r w:rsidRPr="00531250">
        <w:rPr>
          <w:rFonts w:cs="Arial"/>
          <w:b/>
          <w:sz w:val="22"/>
          <w:szCs w:val="22"/>
        </w:rPr>
        <w:t xml:space="preserve">ЛИКВИДАЦИЈА НА ОТВОРЕНИ ИНВЕСТИЦИСКИ ФОНДОВИ </w:t>
      </w:r>
    </w:p>
    <w:p w:rsidR="006A1BD2" w:rsidRPr="00531250" w:rsidRDefault="006A1BD2" w:rsidP="006A1BD2">
      <w:pPr>
        <w:spacing w:after="120" w:line="240" w:lineRule="auto"/>
        <w:jc w:val="center"/>
        <w:rPr>
          <w:rFonts w:cs="Arial"/>
          <w:b/>
          <w:sz w:val="22"/>
          <w:szCs w:val="22"/>
        </w:rPr>
      </w:pPr>
    </w:p>
    <w:p w:rsidR="006A1BD2" w:rsidRPr="00531250" w:rsidRDefault="006A1BD2" w:rsidP="006A1BD2">
      <w:pPr>
        <w:spacing w:after="120" w:line="240" w:lineRule="auto"/>
        <w:ind w:firstLine="720"/>
        <w:jc w:val="both"/>
        <w:rPr>
          <w:rFonts w:cs="Arial"/>
          <w:b/>
          <w:i/>
          <w:sz w:val="22"/>
          <w:szCs w:val="22"/>
        </w:rPr>
      </w:pPr>
      <w:r w:rsidRPr="005B4FCC">
        <w:rPr>
          <w:rFonts w:cs="Arial"/>
          <w:b/>
          <w:sz w:val="22"/>
          <w:szCs w:val="22"/>
        </w:rPr>
        <w:t>Апстракт:</w:t>
      </w:r>
      <w:r w:rsidRPr="00531250">
        <w:rPr>
          <w:rFonts w:cs="Arial"/>
          <w:b/>
          <w:i/>
          <w:sz w:val="22"/>
          <w:szCs w:val="22"/>
        </w:rPr>
        <w:t xml:space="preserve"> </w:t>
      </w:r>
      <w:r w:rsidRPr="00531250">
        <w:rPr>
          <w:rFonts w:cs="Arial"/>
          <w:sz w:val="22"/>
          <w:szCs w:val="22"/>
        </w:rPr>
        <w:t xml:space="preserve">Ликвидацијата на отворените инвестициски фондови се одвива во постапка, која е различна во зависност од причините поради кои настанува ликвидирањето на отворените фондови. Оттука, и иницијативата на авторот за изработка на еден ваков краток труд каде акцент ќе се стави исклучиво на ликвидирањето на отворените инвестициски фондови и друштвата за управување на отворените инвестициски фондови. За цел полесно согледување на причините за ликвидирање на отворените фондови, во апстрактна смисла издвоено се прикажани причините за ликвидирање на фондовите и причините за ликвидирање на друштвата за управување со отворени инвестициски фондови. Терминацијата, односно ликвидацијата на друштвата претставува сложена постапка која настанува со или спротивно на „волјата на друштвото“. Затоа и ликвидацијата на отворените инвестициски фондови иницира отворање дилеми поврзани со оваа проблематика оставајќи простор за понатамошна анализа. </w:t>
      </w:r>
    </w:p>
    <w:p w:rsidR="006A1BD2" w:rsidRPr="00531250" w:rsidRDefault="006A1BD2" w:rsidP="006A1BD2">
      <w:pPr>
        <w:spacing w:after="120" w:line="240" w:lineRule="auto"/>
        <w:ind w:firstLine="720"/>
        <w:jc w:val="both"/>
        <w:rPr>
          <w:rFonts w:cs="Arial"/>
          <w:sz w:val="22"/>
          <w:szCs w:val="22"/>
        </w:rPr>
      </w:pPr>
      <w:r w:rsidRPr="005B4FCC">
        <w:rPr>
          <w:rFonts w:cs="Arial"/>
          <w:b/>
          <w:sz w:val="22"/>
          <w:szCs w:val="22"/>
        </w:rPr>
        <w:t>Клучни зборови:</w:t>
      </w:r>
      <w:r w:rsidRPr="00531250">
        <w:rPr>
          <w:rFonts w:cs="Arial"/>
          <w:b/>
          <w:i/>
          <w:sz w:val="22"/>
          <w:szCs w:val="22"/>
        </w:rPr>
        <w:t xml:space="preserve"> </w:t>
      </w:r>
      <w:r w:rsidRPr="00531250">
        <w:rPr>
          <w:rFonts w:cs="Arial"/>
          <w:i/>
          <w:sz w:val="22"/>
          <w:szCs w:val="22"/>
        </w:rPr>
        <w:t>ликвидација, престанок, стечај, ликвидација на друштва за управување со отворени инвестициски фондови, ликвидација на отворени фондови, ликвидатор, Закон за инвестициски фондови</w:t>
      </w:r>
    </w:p>
    <w:p w:rsidR="006A1BD2" w:rsidRPr="00531250" w:rsidRDefault="006A1BD2" w:rsidP="006A1BD2">
      <w:pPr>
        <w:spacing w:after="120" w:line="240" w:lineRule="auto"/>
        <w:jc w:val="center"/>
        <w:rPr>
          <w:rFonts w:cs="Arial"/>
          <w:b/>
          <w:sz w:val="22"/>
          <w:szCs w:val="22"/>
        </w:rPr>
      </w:pPr>
    </w:p>
    <w:p w:rsidR="006A1BD2" w:rsidRPr="00531250" w:rsidRDefault="006A1BD2" w:rsidP="006A1BD2">
      <w:pPr>
        <w:spacing w:after="120" w:line="240" w:lineRule="auto"/>
        <w:jc w:val="center"/>
        <w:rPr>
          <w:rFonts w:cs="Arial"/>
          <w:b/>
          <w:sz w:val="22"/>
          <w:szCs w:val="22"/>
          <w:lang w:val="en-US"/>
        </w:rPr>
      </w:pPr>
      <w:r w:rsidRPr="00531250">
        <w:rPr>
          <w:rFonts w:cs="Arial"/>
          <w:b/>
          <w:sz w:val="22"/>
          <w:szCs w:val="22"/>
        </w:rPr>
        <w:t>L</w:t>
      </w:r>
      <w:r w:rsidRPr="00531250">
        <w:rPr>
          <w:rFonts w:cs="Arial"/>
          <w:b/>
          <w:sz w:val="22"/>
          <w:szCs w:val="22"/>
          <w:lang w:val="en-US"/>
        </w:rPr>
        <w:t>IQUIDATION OF OPEN-END INVESTMENT FUNDS</w:t>
      </w:r>
    </w:p>
    <w:p w:rsidR="006A1BD2" w:rsidRPr="00531250" w:rsidRDefault="006A1BD2" w:rsidP="006A1BD2">
      <w:pPr>
        <w:spacing w:after="120" w:line="240" w:lineRule="auto"/>
        <w:jc w:val="center"/>
        <w:rPr>
          <w:rFonts w:cs="Arial"/>
          <w:b/>
          <w:sz w:val="22"/>
          <w:szCs w:val="22"/>
          <w:lang w:val="en-US"/>
        </w:rPr>
      </w:pPr>
    </w:p>
    <w:p w:rsidR="006A1BD2" w:rsidRPr="00531250" w:rsidRDefault="006A1BD2" w:rsidP="006A1BD2">
      <w:pPr>
        <w:spacing w:after="120" w:line="240" w:lineRule="auto"/>
        <w:ind w:firstLine="720"/>
        <w:jc w:val="both"/>
        <w:rPr>
          <w:rFonts w:cs="Arial"/>
          <w:b/>
          <w:i/>
          <w:sz w:val="22"/>
          <w:szCs w:val="22"/>
        </w:rPr>
      </w:pPr>
      <w:r w:rsidRPr="005B4FCC">
        <w:rPr>
          <w:rFonts w:cs="Arial"/>
          <w:b/>
          <w:sz w:val="22"/>
          <w:szCs w:val="22"/>
        </w:rPr>
        <w:t>Abstract:</w:t>
      </w:r>
      <w:r w:rsidRPr="00531250">
        <w:rPr>
          <w:rFonts w:cs="Arial"/>
          <w:b/>
          <w:i/>
          <w:sz w:val="22"/>
          <w:szCs w:val="22"/>
        </w:rPr>
        <w:t xml:space="preserve"> </w:t>
      </w:r>
      <w:r w:rsidRPr="00531250">
        <w:rPr>
          <w:rFonts w:cs="Arial"/>
          <w:sz w:val="22"/>
          <w:szCs w:val="22"/>
        </w:rPr>
        <w:t xml:space="preserve">The liquidation of the open-end funds is requiring a different procedure which depends from the reasons that the liquidation of the open-end funds is made. Thus, </w:t>
      </w:r>
      <w:r w:rsidRPr="00531250">
        <w:rPr>
          <w:rStyle w:val="hps"/>
          <w:rFonts w:cs="Arial"/>
          <w:sz w:val="22"/>
          <w:szCs w:val="22"/>
        </w:rPr>
        <w:t>the author’s interest to focus this analysis solely on the liquidation of</w:t>
      </w:r>
      <w:r w:rsidRPr="00531250">
        <w:rPr>
          <w:rFonts w:cs="Arial"/>
          <w:sz w:val="22"/>
          <w:szCs w:val="22"/>
        </w:rPr>
        <w:t xml:space="preserve"> </w:t>
      </w:r>
      <w:r w:rsidRPr="00531250">
        <w:rPr>
          <w:rStyle w:val="hps"/>
          <w:rFonts w:cs="Arial"/>
          <w:sz w:val="22"/>
          <w:szCs w:val="22"/>
        </w:rPr>
        <w:t>open</w:t>
      </w:r>
      <w:r w:rsidRPr="00531250">
        <w:rPr>
          <w:rFonts w:cs="Arial"/>
          <w:sz w:val="22"/>
          <w:szCs w:val="22"/>
        </w:rPr>
        <w:t xml:space="preserve"> </w:t>
      </w:r>
      <w:r w:rsidRPr="00531250">
        <w:rPr>
          <w:rStyle w:val="hps"/>
          <w:rFonts w:cs="Arial"/>
          <w:sz w:val="22"/>
          <w:szCs w:val="22"/>
        </w:rPr>
        <w:t>investment</w:t>
      </w:r>
      <w:r w:rsidRPr="00531250">
        <w:rPr>
          <w:rFonts w:cs="Arial"/>
          <w:sz w:val="22"/>
          <w:szCs w:val="22"/>
        </w:rPr>
        <w:t xml:space="preserve"> </w:t>
      </w:r>
      <w:r w:rsidRPr="00531250">
        <w:rPr>
          <w:rStyle w:val="hps"/>
          <w:rFonts w:cs="Arial"/>
          <w:sz w:val="22"/>
          <w:szCs w:val="22"/>
        </w:rPr>
        <w:t>funds</w:t>
      </w:r>
      <w:r w:rsidRPr="00531250">
        <w:rPr>
          <w:rFonts w:cs="Arial"/>
          <w:sz w:val="22"/>
          <w:szCs w:val="22"/>
        </w:rPr>
        <w:t xml:space="preserve"> </w:t>
      </w:r>
      <w:r w:rsidRPr="00531250">
        <w:rPr>
          <w:rStyle w:val="hps"/>
          <w:rFonts w:cs="Arial"/>
          <w:sz w:val="22"/>
          <w:szCs w:val="22"/>
        </w:rPr>
        <w:t>and the liquidation of the</w:t>
      </w:r>
      <w:r w:rsidRPr="00531250">
        <w:rPr>
          <w:rFonts w:cs="Arial"/>
          <w:sz w:val="22"/>
          <w:szCs w:val="22"/>
        </w:rPr>
        <w:t xml:space="preserve"> </w:t>
      </w:r>
      <w:r w:rsidRPr="00531250">
        <w:rPr>
          <w:rStyle w:val="hps"/>
          <w:rFonts w:cs="Arial"/>
          <w:sz w:val="22"/>
          <w:szCs w:val="22"/>
        </w:rPr>
        <w:t>management companies</w:t>
      </w:r>
      <w:r w:rsidRPr="00531250">
        <w:rPr>
          <w:rFonts w:cs="Arial"/>
          <w:sz w:val="22"/>
          <w:szCs w:val="22"/>
        </w:rPr>
        <w:t xml:space="preserve"> </w:t>
      </w:r>
      <w:r w:rsidRPr="00531250">
        <w:rPr>
          <w:rStyle w:val="hps"/>
          <w:rFonts w:cs="Arial"/>
          <w:sz w:val="22"/>
          <w:szCs w:val="22"/>
        </w:rPr>
        <w:t>of</w:t>
      </w:r>
      <w:r w:rsidRPr="00531250">
        <w:rPr>
          <w:rFonts w:cs="Arial"/>
          <w:sz w:val="22"/>
          <w:szCs w:val="22"/>
        </w:rPr>
        <w:t xml:space="preserve"> </w:t>
      </w:r>
      <w:r w:rsidRPr="00531250">
        <w:rPr>
          <w:rStyle w:val="hps"/>
          <w:rFonts w:cs="Arial"/>
          <w:sz w:val="22"/>
          <w:szCs w:val="22"/>
        </w:rPr>
        <w:t>open</w:t>
      </w:r>
      <w:r w:rsidRPr="00531250">
        <w:rPr>
          <w:rFonts w:cs="Arial"/>
          <w:sz w:val="22"/>
          <w:szCs w:val="22"/>
        </w:rPr>
        <w:t xml:space="preserve"> </w:t>
      </w:r>
      <w:r w:rsidRPr="00531250">
        <w:rPr>
          <w:rStyle w:val="hps"/>
          <w:rFonts w:cs="Arial"/>
          <w:sz w:val="22"/>
          <w:szCs w:val="22"/>
        </w:rPr>
        <w:t>investment</w:t>
      </w:r>
      <w:r w:rsidRPr="00531250">
        <w:rPr>
          <w:rFonts w:cs="Arial"/>
          <w:sz w:val="22"/>
          <w:szCs w:val="22"/>
        </w:rPr>
        <w:t xml:space="preserve"> </w:t>
      </w:r>
      <w:r w:rsidRPr="00531250">
        <w:rPr>
          <w:rStyle w:val="hps"/>
          <w:rFonts w:cs="Arial"/>
          <w:sz w:val="22"/>
          <w:szCs w:val="22"/>
        </w:rPr>
        <w:t>funds</w:t>
      </w:r>
      <w:r w:rsidRPr="00531250">
        <w:rPr>
          <w:rFonts w:cs="Arial"/>
          <w:sz w:val="22"/>
          <w:szCs w:val="22"/>
        </w:rPr>
        <w:t xml:space="preserve">. In order to facilitate a better understanding of what causes liquidation of open-end funds, </w:t>
      </w:r>
      <w:r w:rsidRPr="00531250">
        <w:rPr>
          <w:rStyle w:val="hps"/>
          <w:rFonts w:cs="Arial"/>
          <w:sz w:val="22"/>
          <w:szCs w:val="22"/>
        </w:rPr>
        <w:t>in</w:t>
      </w:r>
      <w:r w:rsidRPr="00531250">
        <w:rPr>
          <w:rFonts w:cs="Arial"/>
          <w:sz w:val="22"/>
          <w:szCs w:val="22"/>
        </w:rPr>
        <w:t xml:space="preserve"> </w:t>
      </w:r>
      <w:r w:rsidRPr="00531250">
        <w:rPr>
          <w:rStyle w:val="hps"/>
          <w:rFonts w:cs="Arial"/>
          <w:sz w:val="22"/>
          <w:szCs w:val="22"/>
        </w:rPr>
        <w:t>abstract</w:t>
      </w:r>
      <w:r w:rsidRPr="00531250">
        <w:rPr>
          <w:rFonts w:cs="Arial"/>
          <w:sz w:val="22"/>
          <w:szCs w:val="22"/>
        </w:rPr>
        <w:t xml:space="preserve"> </w:t>
      </w:r>
      <w:r w:rsidRPr="00531250">
        <w:rPr>
          <w:rStyle w:val="hps"/>
          <w:rFonts w:cs="Arial"/>
          <w:sz w:val="22"/>
          <w:szCs w:val="22"/>
        </w:rPr>
        <w:t>terms, this paper will separate the analysis of the causes for the liquidation of the funds, from the analysis of the causes for the liquidation of the management companies</w:t>
      </w:r>
      <w:r w:rsidRPr="00531250">
        <w:rPr>
          <w:rFonts w:cs="Arial"/>
          <w:sz w:val="22"/>
          <w:szCs w:val="22"/>
        </w:rPr>
        <w:t xml:space="preserve"> that </w:t>
      </w:r>
      <w:r w:rsidRPr="00531250">
        <w:rPr>
          <w:rStyle w:val="hps"/>
          <w:rFonts w:cs="Arial"/>
          <w:sz w:val="22"/>
          <w:szCs w:val="22"/>
        </w:rPr>
        <w:t>administer the open-end</w:t>
      </w:r>
      <w:r w:rsidRPr="00531250">
        <w:rPr>
          <w:rFonts w:cs="Arial"/>
          <w:sz w:val="22"/>
          <w:szCs w:val="22"/>
        </w:rPr>
        <w:t xml:space="preserve"> </w:t>
      </w:r>
      <w:r w:rsidRPr="00531250">
        <w:rPr>
          <w:rStyle w:val="hps"/>
          <w:rFonts w:cs="Arial"/>
          <w:sz w:val="22"/>
          <w:szCs w:val="22"/>
        </w:rPr>
        <w:t>investment</w:t>
      </w:r>
      <w:r w:rsidRPr="00531250">
        <w:rPr>
          <w:rFonts w:cs="Arial"/>
          <w:sz w:val="22"/>
          <w:szCs w:val="22"/>
        </w:rPr>
        <w:t xml:space="preserve"> </w:t>
      </w:r>
      <w:r w:rsidRPr="00531250">
        <w:rPr>
          <w:rStyle w:val="hps"/>
          <w:rFonts w:cs="Arial"/>
          <w:sz w:val="22"/>
          <w:szCs w:val="22"/>
        </w:rPr>
        <w:t>funds The termination or the liquidation of management companies is a complex process that occurs with or contrary to the “will of company”. As a result, the</w:t>
      </w:r>
      <w:r w:rsidRPr="00531250">
        <w:rPr>
          <w:rFonts w:cs="Arial"/>
          <w:sz w:val="22"/>
          <w:szCs w:val="22"/>
        </w:rPr>
        <w:t xml:space="preserve"> </w:t>
      </w:r>
      <w:r w:rsidRPr="00531250">
        <w:rPr>
          <w:rStyle w:val="hps"/>
          <w:rFonts w:cs="Arial"/>
          <w:sz w:val="22"/>
          <w:szCs w:val="22"/>
        </w:rPr>
        <w:t>liquidation</w:t>
      </w:r>
      <w:r w:rsidRPr="00531250">
        <w:rPr>
          <w:rFonts w:cs="Arial"/>
          <w:sz w:val="22"/>
          <w:szCs w:val="22"/>
        </w:rPr>
        <w:t xml:space="preserve"> </w:t>
      </w:r>
      <w:r w:rsidRPr="00531250">
        <w:rPr>
          <w:rStyle w:val="hps"/>
          <w:rFonts w:cs="Arial"/>
          <w:sz w:val="22"/>
          <w:szCs w:val="22"/>
        </w:rPr>
        <w:t>of</w:t>
      </w:r>
      <w:r w:rsidRPr="00531250">
        <w:rPr>
          <w:rFonts w:cs="Arial"/>
          <w:sz w:val="22"/>
          <w:szCs w:val="22"/>
        </w:rPr>
        <w:t xml:space="preserve"> </w:t>
      </w:r>
      <w:r w:rsidRPr="00531250">
        <w:rPr>
          <w:rStyle w:val="hps"/>
          <w:rFonts w:cs="Arial"/>
          <w:sz w:val="22"/>
          <w:szCs w:val="22"/>
        </w:rPr>
        <w:t>open</w:t>
      </w:r>
      <w:r w:rsidRPr="00531250">
        <w:rPr>
          <w:rFonts w:cs="Arial"/>
          <w:sz w:val="22"/>
          <w:szCs w:val="22"/>
        </w:rPr>
        <w:t xml:space="preserve">-end </w:t>
      </w:r>
      <w:r w:rsidRPr="00531250">
        <w:rPr>
          <w:rStyle w:val="hps"/>
          <w:rFonts w:cs="Arial"/>
          <w:sz w:val="22"/>
          <w:szCs w:val="22"/>
        </w:rPr>
        <w:t>funds</w:t>
      </w:r>
      <w:r w:rsidRPr="00531250">
        <w:rPr>
          <w:rFonts w:cs="Arial"/>
          <w:sz w:val="22"/>
          <w:szCs w:val="22"/>
        </w:rPr>
        <w:t xml:space="preserve"> </w:t>
      </w:r>
      <w:r w:rsidRPr="00531250">
        <w:rPr>
          <w:rStyle w:val="hps"/>
          <w:rFonts w:cs="Arial"/>
          <w:sz w:val="22"/>
          <w:szCs w:val="22"/>
        </w:rPr>
        <w:t>raises a lot of</w:t>
      </w:r>
      <w:r w:rsidRPr="00531250">
        <w:rPr>
          <w:rFonts w:cs="Arial"/>
          <w:sz w:val="22"/>
          <w:szCs w:val="22"/>
        </w:rPr>
        <w:t xml:space="preserve"> </w:t>
      </w:r>
      <w:r w:rsidRPr="00531250">
        <w:rPr>
          <w:rStyle w:val="hps"/>
          <w:rFonts w:cs="Arial"/>
          <w:sz w:val="22"/>
          <w:szCs w:val="22"/>
        </w:rPr>
        <w:t>dilemmas</w:t>
      </w:r>
      <w:r w:rsidRPr="00531250">
        <w:rPr>
          <w:rFonts w:cs="Arial"/>
          <w:sz w:val="22"/>
          <w:szCs w:val="22"/>
        </w:rPr>
        <w:t xml:space="preserve"> </w:t>
      </w:r>
      <w:r w:rsidRPr="00531250">
        <w:rPr>
          <w:rStyle w:val="hps"/>
          <w:rFonts w:cs="Arial"/>
          <w:sz w:val="22"/>
          <w:szCs w:val="22"/>
        </w:rPr>
        <w:t>associated with</w:t>
      </w:r>
      <w:r w:rsidRPr="00531250">
        <w:rPr>
          <w:rFonts w:cs="Arial"/>
          <w:sz w:val="22"/>
          <w:szCs w:val="22"/>
        </w:rPr>
        <w:t xml:space="preserve"> </w:t>
      </w:r>
      <w:r w:rsidRPr="00531250">
        <w:rPr>
          <w:rStyle w:val="hps"/>
          <w:rFonts w:cs="Arial"/>
          <w:sz w:val="22"/>
          <w:szCs w:val="22"/>
        </w:rPr>
        <w:t>this</w:t>
      </w:r>
      <w:r w:rsidRPr="00531250">
        <w:rPr>
          <w:rFonts w:cs="Arial"/>
          <w:sz w:val="22"/>
          <w:szCs w:val="22"/>
        </w:rPr>
        <w:t xml:space="preserve"> </w:t>
      </w:r>
      <w:r w:rsidRPr="00531250">
        <w:rPr>
          <w:rStyle w:val="hps"/>
          <w:rFonts w:cs="Arial"/>
          <w:sz w:val="22"/>
          <w:szCs w:val="22"/>
        </w:rPr>
        <w:t>issue, and leaves room</w:t>
      </w:r>
      <w:r w:rsidRPr="00531250">
        <w:rPr>
          <w:rFonts w:cs="Arial"/>
          <w:sz w:val="22"/>
          <w:szCs w:val="22"/>
        </w:rPr>
        <w:t xml:space="preserve"> </w:t>
      </w:r>
      <w:r w:rsidRPr="00531250">
        <w:rPr>
          <w:rStyle w:val="hps"/>
          <w:rFonts w:cs="Arial"/>
          <w:sz w:val="22"/>
          <w:szCs w:val="22"/>
        </w:rPr>
        <w:t>for</w:t>
      </w:r>
      <w:r w:rsidRPr="00531250">
        <w:rPr>
          <w:rFonts w:cs="Arial"/>
          <w:sz w:val="22"/>
          <w:szCs w:val="22"/>
        </w:rPr>
        <w:t xml:space="preserve"> </w:t>
      </w:r>
      <w:r w:rsidRPr="00531250">
        <w:rPr>
          <w:rStyle w:val="hps"/>
          <w:rFonts w:cs="Arial"/>
          <w:sz w:val="22"/>
          <w:szCs w:val="22"/>
        </w:rPr>
        <w:t>further</w:t>
      </w:r>
      <w:r w:rsidRPr="00531250">
        <w:rPr>
          <w:rFonts w:cs="Arial"/>
          <w:sz w:val="22"/>
          <w:szCs w:val="22"/>
        </w:rPr>
        <w:t xml:space="preserve"> </w:t>
      </w:r>
      <w:r w:rsidRPr="00531250">
        <w:rPr>
          <w:rStyle w:val="hps"/>
          <w:rFonts w:cs="Arial"/>
          <w:sz w:val="22"/>
          <w:szCs w:val="22"/>
        </w:rPr>
        <w:t>analysis.</w:t>
      </w:r>
    </w:p>
    <w:p w:rsidR="006A1BD2" w:rsidRPr="00531250" w:rsidRDefault="006A1BD2" w:rsidP="006A1BD2">
      <w:pPr>
        <w:spacing w:after="120" w:line="240" w:lineRule="auto"/>
        <w:ind w:firstLine="720"/>
        <w:jc w:val="both"/>
        <w:rPr>
          <w:rFonts w:cs="Arial"/>
          <w:i/>
          <w:sz w:val="22"/>
          <w:szCs w:val="22"/>
        </w:rPr>
      </w:pPr>
      <w:r w:rsidRPr="005B4FCC">
        <w:rPr>
          <w:rFonts w:cs="Arial"/>
          <w:b/>
          <w:sz w:val="22"/>
          <w:szCs w:val="22"/>
        </w:rPr>
        <w:t>Key words:</w:t>
      </w:r>
      <w:r w:rsidRPr="00531250">
        <w:rPr>
          <w:rFonts w:cs="Arial"/>
          <w:b/>
          <w:i/>
          <w:sz w:val="22"/>
          <w:szCs w:val="22"/>
        </w:rPr>
        <w:t xml:space="preserve"> </w:t>
      </w:r>
      <w:r w:rsidRPr="00531250">
        <w:rPr>
          <w:rFonts w:cs="Arial"/>
          <w:i/>
          <w:sz w:val="22"/>
          <w:szCs w:val="22"/>
        </w:rPr>
        <w:t>liquidation,</w:t>
      </w:r>
      <w:r w:rsidRPr="00531250">
        <w:rPr>
          <w:rFonts w:cs="Arial"/>
          <w:b/>
          <w:i/>
          <w:sz w:val="22"/>
          <w:szCs w:val="22"/>
        </w:rPr>
        <w:t xml:space="preserve"> </w:t>
      </w:r>
      <w:r w:rsidRPr="00531250">
        <w:rPr>
          <w:rFonts w:cs="Arial"/>
          <w:i/>
          <w:sz w:val="22"/>
          <w:szCs w:val="22"/>
        </w:rPr>
        <w:t>termination, insolvency, liquidation</w:t>
      </w:r>
      <w:r w:rsidRPr="00531250">
        <w:rPr>
          <w:rFonts w:cs="Arial"/>
          <w:b/>
          <w:i/>
          <w:sz w:val="22"/>
          <w:szCs w:val="22"/>
        </w:rPr>
        <w:t xml:space="preserve"> </w:t>
      </w:r>
      <w:r w:rsidRPr="00531250">
        <w:rPr>
          <w:rFonts w:cs="Arial"/>
          <w:i/>
          <w:sz w:val="22"/>
          <w:szCs w:val="22"/>
        </w:rPr>
        <w:t>of the management investment companies</w:t>
      </w:r>
      <w:r w:rsidRPr="00531250">
        <w:rPr>
          <w:rFonts w:cs="Arial"/>
          <w:b/>
          <w:i/>
          <w:sz w:val="22"/>
          <w:szCs w:val="22"/>
        </w:rPr>
        <w:t xml:space="preserve">, </w:t>
      </w:r>
      <w:r w:rsidRPr="00531250">
        <w:rPr>
          <w:rFonts w:cs="Arial"/>
          <w:i/>
          <w:sz w:val="22"/>
          <w:szCs w:val="22"/>
        </w:rPr>
        <w:t>liquidation of the open-end funds</w:t>
      </w:r>
      <w:r w:rsidRPr="00531250">
        <w:rPr>
          <w:rFonts w:cs="Arial"/>
          <w:b/>
          <w:i/>
          <w:sz w:val="22"/>
          <w:szCs w:val="22"/>
        </w:rPr>
        <w:t xml:space="preserve">, </w:t>
      </w:r>
      <w:r w:rsidRPr="00531250">
        <w:rPr>
          <w:rFonts w:cs="Arial"/>
          <w:i/>
          <w:sz w:val="22"/>
          <w:szCs w:val="22"/>
        </w:rPr>
        <w:t>l</w:t>
      </w:r>
      <w:r>
        <w:rPr>
          <w:rFonts w:cs="Arial"/>
          <w:i/>
          <w:sz w:val="22"/>
          <w:szCs w:val="22"/>
        </w:rPr>
        <w:t>iquidator, Investment Funds Act</w:t>
      </w:r>
      <w:r w:rsidRPr="00531250">
        <w:rPr>
          <w:rFonts w:cs="Arial"/>
          <w:i/>
          <w:sz w:val="22"/>
          <w:szCs w:val="22"/>
        </w:rPr>
        <w:t xml:space="preserve"> </w:t>
      </w:r>
    </w:p>
    <w:p w:rsidR="006A1BD2" w:rsidRPr="00531250" w:rsidRDefault="006A1BD2" w:rsidP="006A1BD2">
      <w:pPr>
        <w:spacing w:after="120" w:line="240" w:lineRule="auto"/>
        <w:rPr>
          <w:rFonts w:cs="Arial"/>
          <w:b/>
          <w:sz w:val="22"/>
          <w:szCs w:val="22"/>
        </w:rPr>
      </w:pPr>
    </w:p>
    <w:p w:rsidR="006A1BD2" w:rsidRPr="00531250" w:rsidRDefault="006A1BD2" w:rsidP="006A1BD2">
      <w:pPr>
        <w:spacing w:after="120" w:line="240" w:lineRule="auto"/>
        <w:ind w:firstLine="720"/>
        <w:rPr>
          <w:rFonts w:cs="Arial"/>
          <w:b/>
          <w:sz w:val="22"/>
          <w:szCs w:val="22"/>
        </w:rPr>
      </w:pPr>
      <w:r w:rsidRPr="00531250">
        <w:rPr>
          <w:rFonts w:cs="Arial"/>
          <w:b/>
          <w:sz w:val="22"/>
          <w:szCs w:val="22"/>
        </w:rPr>
        <w:t xml:space="preserve">Вовед </w:t>
      </w:r>
    </w:p>
    <w:p w:rsidR="006A1BD2" w:rsidRPr="00531250" w:rsidRDefault="006A1BD2" w:rsidP="006A1BD2">
      <w:pPr>
        <w:spacing w:after="120" w:line="240" w:lineRule="auto"/>
        <w:ind w:firstLine="720"/>
        <w:jc w:val="both"/>
        <w:rPr>
          <w:rFonts w:cs="Arial"/>
          <w:b/>
          <w:sz w:val="22"/>
          <w:szCs w:val="22"/>
        </w:rPr>
      </w:pPr>
      <w:r w:rsidRPr="00531250">
        <w:rPr>
          <w:rFonts w:cs="Arial"/>
          <w:sz w:val="22"/>
          <w:szCs w:val="22"/>
        </w:rPr>
        <w:t>Инвестициските фондови претставуваат посебни ентитети регулирани со Закон за инвестициски фоднови</w:t>
      </w:r>
      <w:r w:rsidRPr="00531250">
        <w:rPr>
          <w:rStyle w:val="FootnoteReference"/>
          <w:rFonts w:cs="Arial"/>
          <w:sz w:val="22"/>
          <w:szCs w:val="22"/>
        </w:rPr>
        <w:footnoteReference w:id="1"/>
      </w:r>
      <w:r w:rsidRPr="00531250">
        <w:rPr>
          <w:rFonts w:cs="Arial"/>
          <w:sz w:val="22"/>
          <w:szCs w:val="22"/>
        </w:rPr>
        <w:t xml:space="preserve"> и Закон за изменување на законот за инвестициските фондови</w:t>
      </w:r>
      <w:r w:rsidRPr="00531250">
        <w:rPr>
          <w:rStyle w:val="FootnoteReference"/>
          <w:rFonts w:cs="Arial"/>
          <w:sz w:val="22"/>
          <w:szCs w:val="22"/>
        </w:rPr>
        <w:footnoteReference w:id="2"/>
      </w:r>
      <w:r w:rsidRPr="00531250">
        <w:rPr>
          <w:rFonts w:cs="Arial"/>
          <w:sz w:val="22"/>
          <w:szCs w:val="22"/>
        </w:rPr>
        <w:t>.</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lastRenderedPageBreak/>
        <w:t>Според правната типологија на македонската регулатива постојат три основни типа</w:t>
      </w:r>
      <w:r w:rsidRPr="00531250">
        <w:rPr>
          <w:rStyle w:val="FootnoteReference"/>
          <w:rFonts w:cs="Arial"/>
          <w:sz w:val="22"/>
          <w:szCs w:val="22"/>
        </w:rPr>
        <w:footnoteReference w:id="3"/>
      </w:r>
      <w:r w:rsidRPr="00531250">
        <w:rPr>
          <w:rFonts w:cs="Arial"/>
          <w:sz w:val="22"/>
          <w:szCs w:val="22"/>
        </w:rPr>
        <w:t xml:space="preserve"> на фондови во Република Македонија (понатаму во тексот: РМ ) за кои важат посебни одредби кои го регулираат нивното основање, делување, припојување и престанок, односно ликвидација.</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Тргнувајќи од бројноста и застапеноста на отворените инвестициски фондови кои се основани и регистрирани во РМ, во однос на останатите типови</w:t>
      </w:r>
      <w:r w:rsidRPr="00531250">
        <w:rPr>
          <w:rStyle w:val="FootnoteReference"/>
          <w:rFonts w:cs="Arial"/>
          <w:sz w:val="22"/>
          <w:szCs w:val="22"/>
        </w:rPr>
        <w:footnoteReference w:id="4"/>
      </w:r>
      <w:r w:rsidRPr="00531250">
        <w:rPr>
          <w:rFonts w:cs="Arial"/>
          <w:sz w:val="22"/>
          <w:szCs w:val="22"/>
        </w:rPr>
        <w:t xml:space="preserve"> на фондови, во овој труд посебен акцент ќе се стави на ликвидацијата на отворените инвестициски фондови. </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 xml:space="preserve">Согледувајќи ја структурата на функционирање на отворените фондови воочливо произлегува дека отворените фондови (понатаму во текстот: фондот) </w:t>
      </w:r>
      <w:r w:rsidRPr="00531250">
        <w:rPr>
          <w:rFonts w:cs="Arial"/>
          <w:i/>
          <w:sz w:val="22"/>
          <w:szCs w:val="22"/>
        </w:rPr>
        <w:t>немаат својство на правно лице,</w:t>
      </w:r>
      <w:r w:rsidRPr="00531250">
        <w:rPr>
          <w:rFonts w:cs="Arial"/>
          <w:sz w:val="22"/>
          <w:szCs w:val="22"/>
        </w:rPr>
        <w:t xml:space="preserve"> </w:t>
      </w:r>
      <w:r w:rsidRPr="00531250">
        <w:rPr>
          <w:rFonts w:cs="Arial"/>
          <w:i/>
          <w:sz w:val="22"/>
          <w:szCs w:val="22"/>
        </w:rPr>
        <w:t>а со нив управува друштвото за управување со отворени инвестициски фондови</w:t>
      </w:r>
      <w:r w:rsidRPr="00531250">
        <w:rPr>
          <w:rFonts w:cs="Arial"/>
          <w:sz w:val="22"/>
          <w:szCs w:val="22"/>
        </w:rPr>
        <w:t xml:space="preserve"> (понатаму во текстот: Друштво за управување). Така, кога говориме за ликвидација на фондови во никој случај не смееме да го поистоветиме ликвидирањето на фондот со ликвидацијата на друштвото за управување. </w:t>
      </w:r>
      <w:r w:rsidRPr="00531250">
        <w:rPr>
          <w:rFonts w:cs="Arial"/>
          <w:i/>
          <w:sz w:val="22"/>
          <w:szCs w:val="22"/>
        </w:rPr>
        <w:t>Ликвидирањето на фондот не повлекува ликвидација на друштвото за управување</w:t>
      </w:r>
      <w:r w:rsidRPr="00531250">
        <w:rPr>
          <w:rFonts w:cs="Arial"/>
          <w:sz w:val="22"/>
          <w:szCs w:val="22"/>
        </w:rPr>
        <w:t>. Зошто? Друштво за управување може да управува со повеќе фондови</w:t>
      </w:r>
      <w:r w:rsidRPr="00531250">
        <w:rPr>
          <w:rStyle w:val="FootnoteReference"/>
          <w:rFonts w:cs="Arial"/>
          <w:sz w:val="22"/>
          <w:szCs w:val="22"/>
        </w:rPr>
        <w:footnoteReference w:id="5"/>
      </w:r>
      <w:r w:rsidRPr="00531250">
        <w:rPr>
          <w:rFonts w:cs="Arial"/>
          <w:sz w:val="22"/>
          <w:szCs w:val="22"/>
        </w:rPr>
        <w:t xml:space="preserve"> и ликвидирањето на еден од фондовите или припојувањето на еден отворен фонд кој друг отворен фондот не значи ликвидација односно престанување на друштвото за управување. Од друга страна пак, престанувањето на Друштвото за управување повлекува престанок, односно ликвидација на фондот, доколку не била донесена одлука за негово припојување кој некој друг фонд.</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 xml:space="preserve">Интересно е прашањето дали ликвидирањето на сите фондови, или на единствениот фонд, со кои/кој управува Друштвото за управување повлекува и негов престанок или мирување? Дали е можно постоење на Друштвото за управување во т.н летаргична форма, без никаква активност, имено, да не постои фонд со кој ќе управува и притоа, да биде поведена постапка за упис на престанок на Друштвото за управување во Трговскиот регистар?! Според Законот за инвестициски фондови (понатаму во текстот: ЗИФ)  единствен предмет на работење на Друштвото за управување е да управува со фондот/вите и да ги презема сите потребни активности за зголемување на имотот на фондот/вите. Поради ваквата специфична дејност, исклучиво, и се основа Друштвото за управување. Затоа, сметаме дека непостоење на имот во фонд со кој управува Друштвото за управување повлекува престанок на друштвото, односно ликвидација и истото треба да биде избришано од Трговскиот регистар што се води во Централниот Регистар на Република Македонија. </w:t>
      </w:r>
      <w:r w:rsidRPr="00531250">
        <w:rPr>
          <w:rFonts w:cs="Arial"/>
          <w:i/>
          <w:sz w:val="22"/>
          <w:szCs w:val="22"/>
        </w:rPr>
        <w:t>Гаснењето на предметот на работењето повлекува престанок, односно постапка за ликвидација на Друштвото за управување</w:t>
      </w:r>
      <w:r w:rsidRPr="00531250">
        <w:rPr>
          <w:rFonts w:cs="Arial"/>
          <w:sz w:val="22"/>
          <w:szCs w:val="22"/>
        </w:rPr>
        <w:t>.</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 xml:space="preserve"> Друштвото за управување на отворен/и фонд/ови не може да управува со имот на друг тип на фондови (на пр. затворен или приватен). Понатаму, истото неможе да се преименува во Друштвото за управување со приватен фонд или Друштвото за управување со затворен фонд, туку треба да биде основано како такво.</w:t>
      </w:r>
    </w:p>
    <w:p w:rsidR="006A1BD2" w:rsidRPr="00531250" w:rsidRDefault="006A1BD2" w:rsidP="006A1BD2">
      <w:pPr>
        <w:spacing w:after="120" w:line="240" w:lineRule="auto"/>
        <w:ind w:firstLine="720"/>
        <w:jc w:val="both"/>
        <w:rPr>
          <w:rFonts w:cs="Arial"/>
          <w:sz w:val="22"/>
          <w:szCs w:val="22"/>
        </w:rPr>
      </w:pPr>
    </w:p>
    <w:p w:rsidR="006A1BD2" w:rsidRPr="00531250" w:rsidRDefault="006A1BD2" w:rsidP="006A1BD2">
      <w:pPr>
        <w:numPr>
          <w:ilvl w:val="1"/>
          <w:numId w:val="1"/>
        </w:numPr>
        <w:spacing w:after="120" w:line="240" w:lineRule="auto"/>
        <w:ind w:left="1077" w:hanging="357"/>
        <w:jc w:val="both"/>
        <w:rPr>
          <w:rFonts w:cs="Arial"/>
          <w:b/>
          <w:sz w:val="22"/>
          <w:szCs w:val="22"/>
        </w:rPr>
      </w:pPr>
      <w:r w:rsidRPr="00531250">
        <w:rPr>
          <w:rFonts w:cs="Arial"/>
          <w:b/>
          <w:sz w:val="22"/>
          <w:szCs w:val="22"/>
        </w:rPr>
        <w:t>Престанок и ликвидација на друштвото за упр</w:t>
      </w:r>
      <w:r>
        <w:rPr>
          <w:rFonts w:cs="Arial"/>
          <w:b/>
          <w:sz w:val="22"/>
          <w:szCs w:val="22"/>
        </w:rPr>
        <w:t xml:space="preserve"> </w:t>
      </w:r>
      <w:r w:rsidRPr="00531250">
        <w:rPr>
          <w:rFonts w:cs="Arial"/>
          <w:b/>
          <w:sz w:val="22"/>
          <w:szCs w:val="22"/>
        </w:rPr>
        <w:t>авување</w:t>
      </w:r>
    </w:p>
    <w:p w:rsidR="006A1BD2" w:rsidRPr="00531250" w:rsidRDefault="006A1BD2" w:rsidP="006A1BD2">
      <w:pPr>
        <w:spacing w:after="120" w:line="240" w:lineRule="auto"/>
        <w:jc w:val="both"/>
        <w:rPr>
          <w:rFonts w:cs="Arial"/>
          <w:sz w:val="22"/>
          <w:szCs w:val="22"/>
        </w:rPr>
      </w:pPr>
      <w:r w:rsidRPr="00531250">
        <w:rPr>
          <w:rFonts w:cs="Arial"/>
          <w:sz w:val="22"/>
          <w:szCs w:val="22"/>
        </w:rPr>
        <w:lastRenderedPageBreak/>
        <w:t xml:space="preserve"> </w:t>
      </w:r>
      <w:r w:rsidRPr="00531250">
        <w:rPr>
          <w:rFonts w:cs="Arial"/>
          <w:sz w:val="22"/>
          <w:szCs w:val="22"/>
        </w:rPr>
        <w:tab/>
        <w:t>Друштвото за управување се основа како акционерско друштво со седиште</w:t>
      </w:r>
      <w:r w:rsidRPr="00531250">
        <w:rPr>
          <w:rStyle w:val="FootnoteReference"/>
          <w:rFonts w:cs="Arial"/>
          <w:sz w:val="22"/>
          <w:szCs w:val="22"/>
        </w:rPr>
        <w:footnoteReference w:id="6"/>
      </w:r>
      <w:r w:rsidRPr="00531250">
        <w:rPr>
          <w:rFonts w:cs="Arial"/>
          <w:sz w:val="22"/>
          <w:szCs w:val="22"/>
        </w:rPr>
        <w:t xml:space="preserve"> во РМ, па за сето она што не е уредено во ЗИФ важат одредбите од ЗТД. Истото може да биде основано од физички и/или правни и домашни и/или правни лица</w:t>
      </w:r>
      <w:r w:rsidRPr="00531250">
        <w:rPr>
          <w:rStyle w:val="FootnoteReference"/>
          <w:rFonts w:cs="Arial"/>
          <w:sz w:val="22"/>
          <w:szCs w:val="22"/>
        </w:rPr>
        <w:footnoteReference w:id="7"/>
      </w:r>
      <w:r w:rsidRPr="00531250">
        <w:rPr>
          <w:rFonts w:cs="Arial"/>
          <w:sz w:val="22"/>
          <w:szCs w:val="22"/>
        </w:rPr>
        <w:t>.</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Престанокот и ликвидацијата на Друштвото за управување ќе се води согласно Закон за трговските друштва</w:t>
      </w:r>
      <w:r w:rsidRPr="00531250">
        <w:rPr>
          <w:rStyle w:val="FootnoteReference"/>
          <w:rFonts w:cs="Arial"/>
          <w:sz w:val="22"/>
          <w:szCs w:val="22"/>
        </w:rPr>
        <w:footnoteReference w:id="8"/>
      </w:r>
      <w:r w:rsidRPr="00531250">
        <w:rPr>
          <w:rFonts w:cs="Arial"/>
          <w:sz w:val="22"/>
          <w:szCs w:val="22"/>
        </w:rPr>
        <w:t>. Во ликвидација може да биде само друштво кое веќе престанало.</w:t>
      </w:r>
      <w:r w:rsidRPr="00531250">
        <w:rPr>
          <w:rStyle w:val="FootnoteReference"/>
          <w:rFonts w:cs="Arial"/>
          <w:sz w:val="22"/>
          <w:szCs w:val="22"/>
        </w:rPr>
        <w:footnoteReference w:id="9"/>
      </w:r>
      <w:r w:rsidRPr="00531250">
        <w:rPr>
          <w:rFonts w:cs="Arial"/>
          <w:sz w:val="22"/>
          <w:szCs w:val="22"/>
        </w:rPr>
        <w:t xml:space="preserve"> Можат да настанат повеќе околности кои ќе повлечат престанување Друштвото за управување. Друштвото за управување престанува со:</w:t>
      </w:r>
    </w:p>
    <w:p w:rsidR="006A1BD2" w:rsidRPr="00531250" w:rsidRDefault="006A1BD2" w:rsidP="006A1BD2">
      <w:pPr>
        <w:spacing w:after="120" w:line="240" w:lineRule="auto"/>
        <w:jc w:val="both"/>
        <w:rPr>
          <w:rFonts w:cs="Arial"/>
          <w:sz w:val="22"/>
          <w:szCs w:val="22"/>
        </w:rPr>
      </w:pPr>
      <w:r w:rsidRPr="00531250">
        <w:rPr>
          <w:rFonts w:cs="Arial"/>
          <w:sz w:val="22"/>
          <w:szCs w:val="22"/>
        </w:rPr>
        <w:t xml:space="preserve">- </w:t>
      </w:r>
      <w:r w:rsidRPr="00531250">
        <w:rPr>
          <w:rFonts w:cs="Arial"/>
          <w:i/>
          <w:sz w:val="22"/>
          <w:szCs w:val="22"/>
        </w:rPr>
        <w:t xml:space="preserve"> </w:t>
      </w:r>
      <w:r w:rsidRPr="00531250">
        <w:rPr>
          <w:rFonts w:cs="Arial"/>
          <w:b/>
          <w:i/>
          <w:sz w:val="22"/>
          <w:szCs w:val="22"/>
        </w:rPr>
        <w:t>истекот на времето определено во статутот, ако друштвото било основано на определено време</w:t>
      </w:r>
      <w:r w:rsidRPr="00531250">
        <w:rPr>
          <w:rFonts w:cs="Arial"/>
          <w:i/>
          <w:sz w:val="22"/>
          <w:szCs w:val="22"/>
        </w:rPr>
        <w:t xml:space="preserve">. </w:t>
      </w:r>
      <w:r w:rsidRPr="00531250">
        <w:rPr>
          <w:rFonts w:cs="Arial"/>
          <w:sz w:val="22"/>
          <w:szCs w:val="22"/>
        </w:rPr>
        <w:t>ЗТД дава диспозитивни овластувања во однос на времетраењето на друштвото. Трговското друштво може да се основа на определено или неопределено време доколку со статутот на друштвото не е определено поинаку.</w:t>
      </w:r>
      <w:r w:rsidRPr="00531250">
        <w:rPr>
          <w:rStyle w:val="FootnoteReference"/>
          <w:rFonts w:cs="Arial"/>
          <w:sz w:val="22"/>
          <w:szCs w:val="22"/>
        </w:rPr>
        <w:footnoteReference w:id="10"/>
      </w:r>
      <w:r w:rsidRPr="00531250">
        <w:rPr>
          <w:rFonts w:cs="Arial"/>
          <w:sz w:val="22"/>
          <w:szCs w:val="22"/>
        </w:rPr>
        <w:t xml:space="preserve"> Доколку нема определено времетраење на друштвото тогаш се смета дека друштвото е основано на неопределно време. </w:t>
      </w:r>
    </w:p>
    <w:p w:rsidR="006A1BD2" w:rsidRPr="00531250" w:rsidRDefault="006A1BD2" w:rsidP="006A1BD2">
      <w:pPr>
        <w:autoSpaceDE w:val="0"/>
        <w:autoSpaceDN w:val="0"/>
        <w:adjustRightInd w:val="0"/>
        <w:spacing w:after="120" w:line="240" w:lineRule="auto"/>
        <w:jc w:val="both"/>
        <w:rPr>
          <w:rFonts w:cs="Arial"/>
          <w:i/>
          <w:sz w:val="22"/>
          <w:szCs w:val="22"/>
        </w:rPr>
      </w:pPr>
      <w:r w:rsidRPr="00531250">
        <w:rPr>
          <w:rFonts w:cs="Arial"/>
          <w:i/>
          <w:sz w:val="22"/>
          <w:szCs w:val="22"/>
        </w:rPr>
        <w:t xml:space="preserve">- </w:t>
      </w:r>
      <w:r w:rsidRPr="00531250">
        <w:rPr>
          <w:rFonts w:cs="Arial"/>
          <w:b/>
          <w:i/>
          <w:sz w:val="22"/>
          <w:szCs w:val="22"/>
        </w:rPr>
        <w:t>намалување на основната главнина на друштвото за управување</w:t>
      </w:r>
      <w:r w:rsidRPr="00531250">
        <w:rPr>
          <w:rFonts w:cs="Arial"/>
          <w:i/>
          <w:sz w:val="22"/>
          <w:szCs w:val="22"/>
        </w:rPr>
        <w:t>.</w:t>
      </w:r>
      <w:r w:rsidRPr="00531250">
        <w:rPr>
          <w:rFonts w:cs="Arial"/>
          <w:sz w:val="22"/>
          <w:szCs w:val="22"/>
        </w:rPr>
        <w:t xml:space="preserve"> Законот за инвестициони фондови предвидуваше минимум основна главнина на Друштвото за управување од 500.000,оо ДЕМ </w:t>
      </w:r>
      <w:r w:rsidRPr="00531250">
        <w:rPr>
          <w:rStyle w:val="FootnoteReference"/>
          <w:rFonts w:cs="Arial"/>
          <w:sz w:val="22"/>
          <w:szCs w:val="22"/>
        </w:rPr>
        <w:footnoteReference w:id="11"/>
      </w:r>
      <w:r w:rsidRPr="00531250">
        <w:rPr>
          <w:rFonts w:cs="Arial"/>
          <w:sz w:val="22"/>
          <w:szCs w:val="22"/>
        </w:rPr>
        <w:t>, односно 50.000,оо Евра</w:t>
      </w:r>
      <w:r w:rsidRPr="00531250">
        <w:rPr>
          <w:rStyle w:val="FootnoteReference"/>
          <w:rFonts w:cs="Arial"/>
          <w:sz w:val="22"/>
          <w:szCs w:val="22"/>
        </w:rPr>
        <w:footnoteReference w:id="12"/>
      </w:r>
      <w:r w:rsidRPr="00531250">
        <w:rPr>
          <w:rFonts w:cs="Arial"/>
          <w:sz w:val="22"/>
          <w:szCs w:val="22"/>
        </w:rPr>
        <w:t xml:space="preserve"> во денарска противвредност по среден курс на Народната банка на Република Македонија на денот на уплатата ако друштвото управува со еден фонд. Со стапувањето на сила на Законот за инвестициски фондови од 2009-та година во РМ до 5.02.2010 година сите инвестициски фондови мораа да се усогласат со  законските промени произлезени од новиот Закон за инвестициски фондови. Поточно, најмалиот номинален износ на основната главнина потребен за основање на Друштвото за управување изнесува 125.000,оо Евра во денарска противвредност, по средниот курс на Народна Банка на РМ.</w:t>
      </w:r>
      <w:r w:rsidRPr="00531250">
        <w:rPr>
          <w:rStyle w:val="FootnoteReference"/>
          <w:rFonts w:cs="Arial"/>
          <w:sz w:val="22"/>
          <w:szCs w:val="22"/>
        </w:rPr>
        <w:footnoteReference w:id="13"/>
      </w:r>
      <w:r w:rsidRPr="00531250">
        <w:rPr>
          <w:rFonts w:cs="Arial"/>
          <w:sz w:val="22"/>
          <w:szCs w:val="22"/>
        </w:rPr>
        <w:t>. Друштвата за управување кои не се усогласени со важечките правни прописи во утврдениот рок треба да се ликвидираат.</w:t>
      </w:r>
    </w:p>
    <w:p w:rsidR="006A1BD2" w:rsidRPr="00531250" w:rsidRDefault="006A1BD2" w:rsidP="006A1BD2">
      <w:pPr>
        <w:spacing w:after="120" w:line="240" w:lineRule="auto"/>
        <w:ind w:firstLine="720"/>
        <w:jc w:val="both"/>
        <w:rPr>
          <w:rFonts w:cs="Arial"/>
          <w:sz w:val="22"/>
          <w:szCs w:val="22"/>
        </w:rPr>
      </w:pPr>
      <w:r w:rsidRPr="00F235D7">
        <w:rPr>
          <w:rFonts w:cs="Arial"/>
          <w:color w:val="auto"/>
          <w:sz w:val="22"/>
          <w:szCs w:val="22"/>
        </w:rPr>
        <w:t xml:space="preserve">- </w:t>
      </w:r>
      <w:r w:rsidRPr="00F235D7">
        <w:rPr>
          <w:rFonts w:cs="Arial"/>
          <w:b/>
          <w:i/>
          <w:color w:val="auto"/>
          <w:sz w:val="22"/>
          <w:szCs w:val="22"/>
        </w:rPr>
        <w:t>о</w:t>
      </w:r>
      <w:r w:rsidRPr="00531250">
        <w:rPr>
          <w:rFonts w:cs="Arial"/>
          <w:b/>
          <w:i/>
          <w:sz w:val="22"/>
          <w:szCs w:val="22"/>
        </w:rPr>
        <w:t>длука на собранието за престанување на друштвото донесена со мнозинство гласови, коешто не може да изнесува под две третини од акциите со право на глас преставени во собранието.</w:t>
      </w:r>
      <w:r w:rsidRPr="00531250">
        <w:rPr>
          <w:rFonts w:cs="Arial"/>
          <w:sz w:val="22"/>
          <w:szCs w:val="22"/>
        </w:rPr>
        <w:t xml:space="preserve"> Бидејки самото друштво за управување настанува, се основа како АД што значи по волја на акционерите/основачите, консеквентно и неговиот престанок зависи исклучиво од волјата на основачите, односно mutuus dissensus. Овде станува збор за доброволна ликвидација која, сепак, е облигаторна последица за престанувањето на Друштвото.</w:t>
      </w:r>
    </w:p>
    <w:p w:rsidR="006A1BD2" w:rsidRPr="00531250" w:rsidRDefault="006A1BD2" w:rsidP="006A1BD2">
      <w:pPr>
        <w:spacing w:after="120" w:line="240" w:lineRule="auto"/>
        <w:ind w:firstLine="720"/>
        <w:jc w:val="both"/>
        <w:rPr>
          <w:rFonts w:cs="Arial"/>
          <w:sz w:val="22"/>
          <w:szCs w:val="22"/>
        </w:rPr>
      </w:pPr>
      <w:r w:rsidRPr="00531250">
        <w:rPr>
          <w:rFonts w:cs="Arial"/>
          <w:color w:val="FF0000"/>
          <w:sz w:val="22"/>
          <w:szCs w:val="22"/>
        </w:rPr>
        <w:lastRenderedPageBreak/>
        <w:t xml:space="preserve">- </w:t>
      </w:r>
      <w:r w:rsidRPr="00531250">
        <w:rPr>
          <w:rFonts w:cs="Arial"/>
          <w:b/>
          <w:i/>
          <w:sz w:val="22"/>
          <w:szCs w:val="22"/>
        </w:rPr>
        <w:t xml:space="preserve">стечај над Друштвото за управување. </w:t>
      </w:r>
      <w:r w:rsidRPr="00531250">
        <w:rPr>
          <w:rFonts w:cs="Arial"/>
          <w:i/>
          <w:sz w:val="22"/>
          <w:szCs w:val="22"/>
        </w:rPr>
        <w:t>ste~ajot mo`e da se definira kako pravna institucija koja gi opfa}a pravilata za regulirawe na pravnite odnosi na doveritelite i dol`nicite i na doveritelite me|usebno, pravilata za prisilno i ramnomerno namiruvawe na site doveriteli od imotot na dol`nikot koj ne bil vo sostojba da gi ispolni site svoi obvrski kako i postapkata za sanacija na ste~ajniot dol`nik so sklu~uvawe na poseben dogovor za poramnuvawe na pobaruvawata utvrdeni vo planot za reorganizacija {to e naso~en kon natamo{no odr`uvawe na dol`nikoviot deloven potfat (pretprijatieto.)</w:t>
      </w:r>
      <w:r w:rsidRPr="00531250">
        <w:rPr>
          <w:rStyle w:val="FootnoteReference"/>
          <w:rFonts w:cs="Arial"/>
          <w:i/>
          <w:sz w:val="22"/>
          <w:szCs w:val="22"/>
          <w:lang w:val="it-IT"/>
        </w:rPr>
        <w:footnoteReference w:id="14"/>
      </w:r>
      <w:r w:rsidRPr="00531250">
        <w:rPr>
          <w:rFonts w:cs="Arial"/>
          <w:i/>
          <w:sz w:val="22"/>
          <w:szCs w:val="22"/>
        </w:rPr>
        <w:t xml:space="preserve"> </w:t>
      </w:r>
      <w:r w:rsidRPr="00531250">
        <w:rPr>
          <w:rFonts w:cs="Arial"/>
          <w:sz w:val="22"/>
          <w:szCs w:val="22"/>
        </w:rPr>
        <w:t>Закот за стечај наведува објективен услов за отварање на стечајна постапка, а тоа е неспособност на должникот за плаќање на втасаните обврски по изминати 45 дена од денот кога требало да се платат. Постои битна разлика при спроведувањето на стечајната постапка на одделните форми на трговски друштва. Друштвото за управување над кое е отворена стечајна постапка не може да продолжи со управување со фондот или да работи работи и да презема активности кои се поврзани со работењето на фондот. Бидејќи со отварањето на стечајната постапка, стечајниот управник го презема целокупнот имот  што влегува во стечајната маса и истата има за цел колективно намирување на доверителите на стечајниот должник.</w:t>
      </w:r>
    </w:p>
    <w:p w:rsidR="006A1BD2" w:rsidRPr="00531250" w:rsidRDefault="006A1BD2" w:rsidP="006A1BD2">
      <w:pPr>
        <w:spacing w:after="120" w:line="240" w:lineRule="auto"/>
        <w:ind w:firstLine="720"/>
        <w:jc w:val="both"/>
        <w:rPr>
          <w:rFonts w:cs="Arial"/>
          <w:sz w:val="22"/>
          <w:szCs w:val="22"/>
        </w:rPr>
      </w:pPr>
      <w:r w:rsidRPr="00531250">
        <w:rPr>
          <w:rFonts w:cs="Arial"/>
          <w:i/>
          <w:sz w:val="22"/>
          <w:szCs w:val="22"/>
        </w:rPr>
        <w:t xml:space="preserve">- </w:t>
      </w:r>
      <w:r w:rsidRPr="00531250">
        <w:rPr>
          <w:rFonts w:cs="Arial"/>
          <w:b/>
          <w:i/>
          <w:sz w:val="22"/>
          <w:szCs w:val="22"/>
        </w:rPr>
        <w:t>со привремено или трајно решение за одземање на дозвола за работа донесено од Комисија за хартии од вредност</w:t>
      </w:r>
      <w:r w:rsidRPr="00531250">
        <w:rPr>
          <w:rFonts w:cs="Arial"/>
          <w:sz w:val="22"/>
          <w:szCs w:val="22"/>
        </w:rPr>
        <w:t xml:space="preserve"> (понатаму во текстот: КХВ). Доколку КХВ открие некакви неправилности при работењето на друштвото за управување може да забрани привремена или трајна забрана за работа на друштвото. Постојат повеќе основи за одземање на дозволата за работа на Друштвото за управување и тоа поради: поради несовесно работење, управување, односно вложување на средствата од фондот спротивно на Проспектот, намалување на основната главнина на Друштвото за управување под законски утврдениот минимум</w:t>
      </w:r>
      <w:r w:rsidRPr="00531250">
        <w:rPr>
          <w:rStyle w:val="FootnoteReference"/>
          <w:rFonts w:cs="Arial"/>
          <w:sz w:val="22"/>
          <w:szCs w:val="22"/>
        </w:rPr>
        <w:footnoteReference w:id="15"/>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 xml:space="preserve">Во случај на стечај или ликвидација на Друштвото за управување работите на управување со фондовите и сметките на индивидуалните клиенти кои ги вршело ова друштво со одлука на комисиајта за хартии од вредност се пренесуваат на друго друштво за управување. </w:t>
      </w:r>
      <w:r w:rsidRPr="00531250">
        <w:rPr>
          <w:rFonts w:cs="Arial"/>
          <w:i/>
          <w:sz w:val="22"/>
          <w:szCs w:val="22"/>
        </w:rPr>
        <w:t>При тоа треба да се нагласи дека со престанување на друштвото</w:t>
      </w:r>
      <w:r w:rsidRPr="00531250">
        <w:rPr>
          <w:rStyle w:val="FootnoteReference"/>
          <w:rFonts w:cs="Arial"/>
          <w:i/>
          <w:sz w:val="22"/>
          <w:szCs w:val="22"/>
        </w:rPr>
        <w:footnoteReference w:id="16"/>
      </w:r>
      <w:r w:rsidRPr="00531250">
        <w:rPr>
          <w:rFonts w:cs="Arial"/>
          <w:i/>
          <w:sz w:val="22"/>
          <w:szCs w:val="22"/>
        </w:rPr>
        <w:t xml:space="preserve"> не доведува само по себе до исчезнување на правниот субјективитет на друштвото, туку само до запирање на неговата активна трговска дејност. Потоа се спроведува постапка за ликвидирање на настанатите правни односи</w:t>
      </w:r>
      <w:r w:rsidRPr="00531250">
        <w:rPr>
          <w:rStyle w:val="FootnoteReference"/>
          <w:rFonts w:cs="Arial"/>
          <w:i/>
          <w:sz w:val="22"/>
          <w:szCs w:val="22"/>
        </w:rPr>
        <w:footnoteReference w:id="17"/>
      </w:r>
      <w:r w:rsidRPr="00531250">
        <w:rPr>
          <w:rFonts w:cs="Arial"/>
          <w:i/>
          <w:sz w:val="22"/>
          <w:szCs w:val="22"/>
        </w:rPr>
        <w:t>.</w:t>
      </w:r>
      <w:r w:rsidRPr="00531250">
        <w:rPr>
          <w:rFonts w:cs="Arial"/>
          <w:sz w:val="22"/>
          <w:szCs w:val="22"/>
        </w:rPr>
        <w:t xml:space="preserve"> Само после ликвидациjата и распределбата на ликвидационата маса правниот субјективитет на друштвото сосема исчезнува. </w:t>
      </w:r>
    </w:p>
    <w:p w:rsidR="006A1BD2" w:rsidRPr="00531250" w:rsidRDefault="006A1BD2" w:rsidP="006A1BD2">
      <w:pPr>
        <w:spacing w:after="120" w:line="240" w:lineRule="auto"/>
        <w:jc w:val="both"/>
        <w:rPr>
          <w:rFonts w:cs="Arial"/>
          <w:sz w:val="22"/>
          <w:szCs w:val="22"/>
        </w:rPr>
      </w:pPr>
    </w:p>
    <w:p w:rsidR="006A1BD2" w:rsidRPr="00531250" w:rsidRDefault="006A1BD2" w:rsidP="006A1BD2">
      <w:pPr>
        <w:spacing w:after="120" w:line="240" w:lineRule="auto"/>
        <w:ind w:left="360" w:firstLine="360"/>
        <w:rPr>
          <w:rFonts w:cs="Arial"/>
          <w:b/>
          <w:sz w:val="22"/>
          <w:szCs w:val="22"/>
        </w:rPr>
      </w:pPr>
      <w:r w:rsidRPr="00531250">
        <w:rPr>
          <w:rFonts w:cs="Arial"/>
          <w:b/>
          <w:sz w:val="22"/>
          <w:szCs w:val="22"/>
        </w:rPr>
        <w:t>1.2 Причини за ликвидација на фондот</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Постапката за ликвидација на отворениот инвестициски фонд ја пропишува КХВ, според ЗИФ и истата ја води ДУОФ.</w:t>
      </w:r>
      <w:r w:rsidRPr="00531250">
        <w:rPr>
          <w:rStyle w:val="FootnoteReference"/>
          <w:rFonts w:cs="Arial"/>
          <w:sz w:val="22"/>
          <w:szCs w:val="22"/>
        </w:rPr>
        <w:footnoteReference w:id="18"/>
      </w:r>
      <w:r w:rsidRPr="00531250">
        <w:rPr>
          <w:rFonts w:cs="Arial"/>
          <w:sz w:val="22"/>
          <w:szCs w:val="22"/>
        </w:rPr>
        <w:t xml:space="preserve"> Во овој случај станува збор за lex specialis derogat legi generali. Во ЗТД е утврдено дека постапка за ликвидација се отвара на јавно друштво, командитно друштво, друштво со ограничена одговорност и на </w:t>
      </w:r>
      <w:r w:rsidRPr="00531250">
        <w:rPr>
          <w:rFonts w:cs="Arial"/>
          <w:sz w:val="22"/>
          <w:szCs w:val="22"/>
        </w:rPr>
        <w:lastRenderedPageBreak/>
        <w:t>акционерско друштво. Друг институт во правото каде се дозволува ликвидација на имот без својство на правно лице е ортаклакот како заедница уредена со ЗОО.</w:t>
      </w:r>
      <w:r w:rsidRPr="00531250">
        <w:rPr>
          <w:rStyle w:val="FootnoteReference"/>
          <w:rFonts w:cs="Arial"/>
          <w:sz w:val="22"/>
          <w:szCs w:val="22"/>
        </w:rPr>
        <w:footnoteReference w:id="19"/>
      </w:r>
    </w:p>
    <w:p w:rsidR="006A1BD2" w:rsidRPr="00531250" w:rsidRDefault="006A1BD2" w:rsidP="006A1BD2">
      <w:pPr>
        <w:spacing w:after="120" w:line="240" w:lineRule="auto"/>
        <w:ind w:firstLine="405"/>
        <w:jc w:val="both"/>
        <w:rPr>
          <w:rFonts w:cs="Arial"/>
          <w:sz w:val="22"/>
          <w:szCs w:val="22"/>
        </w:rPr>
      </w:pPr>
      <w:r w:rsidRPr="00531250">
        <w:rPr>
          <w:rFonts w:cs="Arial"/>
          <w:sz w:val="22"/>
          <w:szCs w:val="22"/>
        </w:rPr>
        <w:t>Во законот за инвестициски фондови наведени се повеќе причини поради кои фондот се припојува ( фузира) кон друг фонд и/или  се ликвидира. И тоа со:</w:t>
      </w:r>
    </w:p>
    <w:p w:rsidR="006A1BD2" w:rsidRPr="00531250" w:rsidRDefault="006A1BD2" w:rsidP="006A1BD2">
      <w:pPr>
        <w:numPr>
          <w:ilvl w:val="0"/>
          <w:numId w:val="2"/>
        </w:numPr>
        <w:spacing w:after="120" w:line="240" w:lineRule="auto"/>
        <w:jc w:val="both"/>
        <w:rPr>
          <w:rFonts w:cs="Arial"/>
          <w:b/>
          <w:i/>
          <w:sz w:val="22"/>
          <w:szCs w:val="22"/>
        </w:rPr>
      </w:pPr>
      <w:r w:rsidRPr="00531250">
        <w:rPr>
          <w:rFonts w:cs="Arial"/>
          <w:b/>
          <w:i/>
          <w:sz w:val="22"/>
          <w:szCs w:val="22"/>
        </w:rPr>
        <w:t xml:space="preserve">одлука на Друштвото за управување . </w:t>
      </w:r>
      <w:r w:rsidRPr="00531250">
        <w:rPr>
          <w:rFonts w:cs="Arial"/>
          <w:sz w:val="22"/>
          <w:szCs w:val="22"/>
        </w:rPr>
        <w:t>Доколку акцонерите на друштвото одлучат</w:t>
      </w:r>
      <w:r w:rsidRPr="00531250">
        <w:rPr>
          <w:rFonts w:cs="Arial"/>
          <w:b/>
          <w:i/>
          <w:sz w:val="22"/>
          <w:szCs w:val="22"/>
        </w:rPr>
        <w:t xml:space="preserve"> </w:t>
      </w:r>
      <w:r w:rsidRPr="00531250">
        <w:rPr>
          <w:rFonts w:cs="Arial"/>
          <w:sz w:val="22"/>
          <w:szCs w:val="22"/>
        </w:rPr>
        <w:t>да прекинат со нивниот основен предмет на работење за кои го основале Друштвото за управување - управување со имотот на фондот, тогаш припојувањето или ликвидацијата на фондот/фондовите со кои управува истото неминовно му/им следи ликвидација.</w:t>
      </w:r>
    </w:p>
    <w:p w:rsidR="006A1BD2" w:rsidRPr="00531250" w:rsidRDefault="006A1BD2" w:rsidP="006A1BD2">
      <w:pPr>
        <w:numPr>
          <w:ilvl w:val="0"/>
          <w:numId w:val="2"/>
        </w:numPr>
        <w:spacing w:after="120" w:line="240" w:lineRule="auto"/>
        <w:jc w:val="both"/>
        <w:rPr>
          <w:rFonts w:cs="Arial"/>
          <w:b/>
          <w:sz w:val="22"/>
          <w:szCs w:val="22"/>
        </w:rPr>
      </w:pPr>
      <w:r w:rsidRPr="00531250">
        <w:rPr>
          <w:rFonts w:cs="Arial"/>
          <w:b/>
          <w:i/>
          <w:sz w:val="22"/>
          <w:szCs w:val="22"/>
        </w:rPr>
        <w:t>со истекот на времето определено во статутот и проспектот, ако друштвото било основано на определено време</w:t>
      </w:r>
      <w:r w:rsidRPr="00531250">
        <w:rPr>
          <w:rFonts w:cs="Arial"/>
          <w:sz w:val="22"/>
          <w:szCs w:val="22"/>
        </w:rPr>
        <w:t xml:space="preserve">. Доколку фондот биде основан на определно време наведено во Статутот на фондот  и доколку помине периодот за кој е основан фондот, а Друштвото за управување не го продолжи неговото постоење, тогаш после изминувањето на определениот период  фондот се ликвидира. </w:t>
      </w:r>
      <w:r w:rsidRPr="00531250">
        <w:rPr>
          <w:rStyle w:val="FootnoteReference"/>
          <w:rFonts w:cs="Arial"/>
          <w:sz w:val="22"/>
          <w:szCs w:val="22"/>
        </w:rPr>
        <w:footnoteReference w:id="20"/>
      </w:r>
    </w:p>
    <w:p w:rsidR="006A1BD2" w:rsidRPr="00531250" w:rsidRDefault="006A1BD2" w:rsidP="006A1BD2">
      <w:pPr>
        <w:numPr>
          <w:ilvl w:val="0"/>
          <w:numId w:val="2"/>
        </w:numPr>
        <w:spacing w:after="120" w:line="240" w:lineRule="auto"/>
        <w:jc w:val="both"/>
        <w:rPr>
          <w:rFonts w:cs="Arial"/>
          <w:b/>
          <w:i/>
          <w:sz w:val="22"/>
          <w:szCs w:val="22"/>
        </w:rPr>
      </w:pPr>
      <w:r w:rsidRPr="00531250">
        <w:rPr>
          <w:rFonts w:cs="Arial"/>
          <w:b/>
          <w:i/>
          <w:sz w:val="22"/>
          <w:szCs w:val="22"/>
        </w:rPr>
        <w:t>неликвидност (ненавремено исполнување на достасаните обврски)</w:t>
      </w:r>
      <w:r w:rsidRPr="00531250">
        <w:rPr>
          <w:rFonts w:cs="Arial"/>
          <w:i/>
          <w:sz w:val="22"/>
          <w:szCs w:val="22"/>
        </w:rPr>
        <w:t>.</w:t>
      </w:r>
      <w:r w:rsidRPr="00531250">
        <w:rPr>
          <w:rFonts w:cs="Arial"/>
          <w:sz w:val="22"/>
          <w:szCs w:val="22"/>
        </w:rPr>
        <w:t xml:space="preserve"> Вложувачите во фондот се стекнуваат со правото на откуп на уделот, што значи </w:t>
      </w:r>
      <w:r w:rsidRPr="00531250">
        <w:rPr>
          <w:rFonts w:cs="Arial"/>
          <w:i/>
          <w:sz w:val="22"/>
          <w:szCs w:val="22"/>
        </w:rPr>
        <w:t xml:space="preserve">дека фондот има обврска да го откупи уделот во секое време </w:t>
      </w:r>
      <w:r w:rsidRPr="00531250">
        <w:rPr>
          <w:rFonts w:cs="Arial"/>
          <w:sz w:val="22"/>
          <w:szCs w:val="22"/>
        </w:rPr>
        <w:t>и средствата од откупот на удели да ги исплати на сметка на сопственикот на откупените удели. Поради оваа специфика и предност која ја имаат отворените фондови, од другите типови на фондови, одржувањето на ликвидноста на фондот е основен услов за постоење на фондот</w:t>
      </w:r>
      <w:r w:rsidRPr="00531250">
        <w:rPr>
          <w:rFonts w:cs="Arial"/>
          <w:b/>
          <w:i/>
          <w:sz w:val="22"/>
          <w:szCs w:val="22"/>
        </w:rPr>
        <w:t>.</w:t>
      </w:r>
    </w:p>
    <w:p w:rsidR="006A1BD2" w:rsidRPr="00531250" w:rsidRDefault="006A1BD2" w:rsidP="006A1BD2">
      <w:pPr>
        <w:numPr>
          <w:ilvl w:val="0"/>
          <w:numId w:val="2"/>
        </w:numPr>
        <w:spacing w:after="120" w:line="240" w:lineRule="auto"/>
        <w:jc w:val="both"/>
        <w:rPr>
          <w:rFonts w:cs="Arial"/>
          <w:b/>
          <w:i/>
          <w:sz w:val="22"/>
          <w:szCs w:val="22"/>
        </w:rPr>
      </w:pPr>
      <w:r w:rsidRPr="00531250">
        <w:rPr>
          <w:rFonts w:cs="Arial"/>
          <w:b/>
          <w:i/>
          <w:sz w:val="22"/>
          <w:szCs w:val="22"/>
        </w:rPr>
        <w:t>намалување на вредноста на имотот на фондот под законски дозволениот минимум</w:t>
      </w:r>
      <w:r w:rsidRPr="00531250">
        <w:rPr>
          <w:rFonts w:cs="Arial"/>
          <w:sz w:val="22"/>
          <w:szCs w:val="22"/>
        </w:rPr>
        <w:t xml:space="preserve"> </w:t>
      </w:r>
      <w:r w:rsidRPr="00531250">
        <w:rPr>
          <w:rStyle w:val="FootnoteReference"/>
          <w:rFonts w:cs="Arial"/>
          <w:sz w:val="22"/>
          <w:szCs w:val="22"/>
        </w:rPr>
        <w:footnoteReference w:id="21"/>
      </w:r>
      <w:r w:rsidRPr="00531250">
        <w:rPr>
          <w:rFonts w:cs="Arial"/>
          <w:sz w:val="22"/>
          <w:szCs w:val="22"/>
        </w:rPr>
        <w:t>. Во рок од два месеца од објавувањето на јавниот повик за запишување на удели, отворениот фонд треба да прибере парични средства најмалку во износ од 300.000 евра во денарска проотиввредност, по средниот курс на народна банка на РМ, на денот кога целосно се прибрани паричните средства.  Оваа минимум вредноста на имотот на фондот треба во секое време да ја одржува.  Доколку вредноста на имотот на фондот се намали под 2/3 од годенаведениот износ, веднаш се пристапува кон ликвидација на фондот.</w:t>
      </w:r>
      <w:r w:rsidRPr="00531250">
        <w:rPr>
          <w:rStyle w:val="FootnoteReference"/>
          <w:rFonts w:cs="Arial"/>
          <w:sz w:val="22"/>
          <w:szCs w:val="22"/>
        </w:rPr>
        <w:footnoteReference w:id="22"/>
      </w:r>
      <w:r w:rsidRPr="00531250">
        <w:rPr>
          <w:rFonts w:cs="Arial"/>
          <w:sz w:val="22"/>
          <w:szCs w:val="22"/>
        </w:rPr>
        <w:t xml:space="preserve">  Доколку, вредноста на имотот на фондот е намалена под законски потребниот минимум, но не повеќе од 2/3 од тој износ друштвото за управување е должно во рок од три месеци да го обезбеди потребниот минимум, во спротивно фондот ќе мора да се припои кој друг фонд или да се ликвидира.</w:t>
      </w:r>
      <w:r w:rsidRPr="00531250">
        <w:rPr>
          <w:rStyle w:val="FootnoteReference"/>
          <w:rFonts w:cs="Arial"/>
          <w:sz w:val="22"/>
          <w:szCs w:val="22"/>
        </w:rPr>
        <w:footnoteReference w:id="23"/>
      </w:r>
      <w:r w:rsidRPr="00531250">
        <w:rPr>
          <w:rFonts w:cs="Arial"/>
          <w:sz w:val="22"/>
          <w:szCs w:val="22"/>
        </w:rPr>
        <w:t xml:space="preserve">  Стариот Закон за инвестициони фондови</w:t>
      </w:r>
      <w:r w:rsidRPr="00531250">
        <w:rPr>
          <w:rStyle w:val="FootnoteReference"/>
          <w:rFonts w:cs="Arial"/>
          <w:sz w:val="22"/>
          <w:szCs w:val="22"/>
        </w:rPr>
        <w:footnoteReference w:id="24"/>
      </w:r>
      <w:r w:rsidRPr="00531250">
        <w:rPr>
          <w:rFonts w:cs="Arial"/>
          <w:sz w:val="22"/>
          <w:szCs w:val="22"/>
        </w:rPr>
        <w:t xml:space="preserve"> предвидуваше минимум вредност на имотот на  фондот од 2.000.000 ДЕМ, односно 500.000 евра</w:t>
      </w:r>
      <w:r w:rsidRPr="00531250">
        <w:rPr>
          <w:rStyle w:val="FootnoteReference"/>
          <w:rFonts w:cs="Arial"/>
          <w:sz w:val="22"/>
          <w:szCs w:val="22"/>
        </w:rPr>
        <w:footnoteReference w:id="25"/>
      </w:r>
      <w:r w:rsidRPr="00531250">
        <w:rPr>
          <w:rFonts w:cs="Arial"/>
          <w:sz w:val="22"/>
          <w:szCs w:val="22"/>
        </w:rPr>
        <w:t xml:space="preserve"> во денарска противвредност</w:t>
      </w:r>
      <w:r w:rsidRPr="00531250">
        <w:rPr>
          <w:rFonts w:cs="Arial"/>
          <w:b/>
          <w:i/>
          <w:sz w:val="22"/>
          <w:szCs w:val="22"/>
        </w:rPr>
        <w:t>.</w:t>
      </w:r>
    </w:p>
    <w:p w:rsidR="006A1BD2" w:rsidRPr="00531250" w:rsidRDefault="006A1BD2" w:rsidP="006A1BD2">
      <w:pPr>
        <w:pStyle w:val="FootnoteText"/>
        <w:numPr>
          <w:ilvl w:val="0"/>
          <w:numId w:val="2"/>
        </w:numPr>
        <w:spacing w:after="120" w:line="240" w:lineRule="auto"/>
        <w:jc w:val="both"/>
        <w:rPr>
          <w:rFonts w:cs="Arial"/>
          <w:sz w:val="22"/>
          <w:szCs w:val="22"/>
        </w:rPr>
      </w:pPr>
      <w:r w:rsidRPr="00531250">
        <w:rPr>
          <w:rFonts w:cs="Arial"/>
          <w:b/>
          <w:i/>
          <w:sz w:val="22"/>
          <w:szCs w:val="22"/>
        </w:rPr>
        <w:t xml:space="preserve">со присоединување односно припојување на еден отворен фонд кон друг. </w:t>
      </w:r>
      <w:r w:rsidRPr="00531250">
        <w:rPr>
          <w:rFonts w:cs="Arial"/>
          <w:sz w:val="22"/>
          <w:szCs w:val="22"/>
        </w:rPr>
        <w:t>Фондот може да</w:t>
      </w:r>
      <w:r w:rsidRPr="00531250">
        <w:rPr>
          <w:rFonts w:cs="Arial"/>
          <w:b/>
          <w:i/>
          <w:sz w:val="22"/>
          <w:szCs w:val="22"/>
        </w:rPr>
        <w:t xml:space="preserve"> </w:t>
      </w:r>
      <w:r w:rsidRPr="00531250">
        <w:rPr>
          <w:rFonts w:cs="Arial"/>
          <w:sz w:val="22"/>
          <w:szCs w:val="22"/>
        </w:rPr>
        <w:t xml:space="preserve">престане да постои на два начина: со ликвидација (фактички) или со фузија ,спојување кон друг фонд (правно). Два отворени фонда можат да се припојат доколку кумулативно се исполнети три услова: друштвото за управување </w:t>
      </w:r>
      <w:r w:rsidRPr="00531250">
        <w:rPr>
          <w:rFonts w:cs="Arial"/>
          <w:sz w:val="22"/>
          <w:szCs w:val="22"/>
        </w:rPr>
        <w:lastRenderedPageBreak/>
        <w:t>донело претходно одлука за нивни припојување, Комисијата за хартии од вредност дала одобрение за припојување   и депозитарните банки на отворените. Фондот што се припојува престанува да постои.</w:t>
      </w:r>
    </w:p>
    <w:p w:rsidR="006A1BD2" w:rsidRPr="00531250" w:rsidRDefault="006A1BD2" w:rsidP="006A1BD2">
      <w:pPr>
        <w:numPr>
          <w:ilvl w:val="0"/>
          <w:numId w:val="2"/>
        </w:numPr>
        <w:spacing w:after="120" w:line="240" w:lineRule="auto"/>
        <w:jc w:val="both"/>
        <w:rPr>
          <w:rFonts w:cs="Arial"/>
          <w:sz w:val="22"/>
          <w:szCs w:val="22"/>
        </w:rPr>
      </w:pPr>
      <w:r w:rsidRPr="00531250">
        <w:rPr>
          <w:rFonts w:cs="Arial"/>
          <w:b/>
          <w:i/>
          <w:sz w:val="22"/>
          <w:szCs w:val="22"/>
        </w:rPr>
        <w:t>престанок на Друштвото за управување</w:t>
      </w:r>
      <w:r w:rsidRPr="00531250">
        <w:rPr>
          <w:rFonts w:cs="Arial"/>
          <w:sz w:val="22"/>
          <w:szCs w:val="22"/>
        </w:rPr>
        <w:t>. Доколку друштвото за управување е во стечај или му е одземена дозволата за работа, тогаш управувањето на фондот мора да биде доверено на друго друштво за управување или истиот да биде ликвидиран.</w:t>
      </w:r>
    </w:p>
    <w:p w:rsidR="006A1BD2" w:rsidRPr="00531250" w:rsidRDefault="006A1BD2" w:rsidP="006A1BD2">
      <w:pPr>
        <w:numPr>
          <w:ilvl w:val="0"/>
          <w:numId w:val="2"/>
        </w:numPr>
        <w:spacing w:after="120" w:line="240" w:lineRule="auto"/>
        <w:jc w:val="both"/>
        <w:rPr>
          <w:rFonts w:cs="Arial"/>
          <w:sz w:val="22"/>
          <w:szCs w:val="22"/>
        </w:rPr>
      </w:pPr>
      <w:r w:rsidRPr="00531250">
        <w:rPr>
          <w:rFonts w:cs="Arial"/>
          <w:b/>
          <w:i/>
          <w:sz w:val="22"/>
          <w:szCs w:val="22"/>
        </w:rPr>
        <w:t xml:space="preserve">и други основи наведени во Статутот и Проспектот  на фондот. </w:t>
      </w:r>
    </w:p>
    <w:p w:rsidR="006A1BD2" w:rsidRPr="00531250" w:rsidRDefault="006A1BD2" w:rsidP="006A1BD2">
      <w:pPr>
        <w:spacing w:after="120" w:line="240" w:lineRule="auto"/>
        <w:jc w:val="both"/>
        <w:rPr>
          <w:rFonts w:cs="Arial"/>
          <w:sz w:val="22"/>
          <w:szCs w:val="22"/>
        </w:rPr>
      </w:pPr>
    </w:p>
    <w:p w:rsidR="006A1BD2" w:rsidRPr="00531250" w:rsidRDefault="006A1BD2" w:rsidP="006A1BD2">
      <w:pPr>
        <w:spacing w:after="120" w:line="240" w:lineRule="auto"/>
        <w:ind w:left="360" w:firstLine="360"/>
        <w:jc w:val="both"/>
        <w:rPr>
          <w:rFonts w:cs="Arial"/>
          <w:b/>
          <w:sz w:val="22"/>
          <w:szCs w:val="22"/>
        </w:rPr>
      </w:pPr>
      <w:r w:rsidRPr="00531250">
        <w:rPr>
          <w:rFonts w:cs="Arial"/>
          <w:b/>
          <w:sz w:val="22"/>
          <w:szCs w:val="22"/>
        </w:rPr>
        <w:t xml:space="preserve">1.3 Целта на ликвидацијата </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 xml:space="preserve">Од погоре наведените причини за ликвидација на фондовите воочливо е дека истите можат да бидат подведени под престанок односно ликвидација по два основа: </w:t>
      </w:r>
      <w:r w:rsidRPr="00531250">
        <w:rPr>
          <w:rFonts w:cs="Arial"/>
          <w:i/>
          <w:sz w:val="22"/>
          <w:szCs w:val="22"/>
        </w:rPr>
        <w:t>доброволно</w:t>
      </w:r>
      <w:r w:rsidRPr="00531250">
        <w:rPr>
          <w:rFonts w:cs="Arial"/>
          <w:sz w:val="22"/>
          <w:szCs w:val="22"/>
        </w:rPr>
        <w:t xml:space="preserve"> – со одлука на друштвото за управување и </w:t>
      </w:r>
      <w:r w:rsidRPr="00531250">
        <w:rPr>
          <w:rFonts w:cs="Arial"/>
          <w:i/>
          <w:sz w:val="22"/>
          <w:szCs w:val="22"/>
        </w:rPr>
        <w:t>присилно</w:t>
      </w:r>
      <w:r w:rsidRPr="00531250">
        <w:rPr>
          <w:rFonts w:cs="Arial"/>
          <w:sz w:val="22"/>
          <w:szCs w:val="22"/>
        </w:rPr>
        <w:t xml:space="preserve"> со одлука на регулаторното тело Комисијата за хартии од вредност. Друштвото за управување може да донесе одлука припојување кон друг отворен фонд, односно одлука за ликвидација на фондот доколку акционерите се согласат околу тоа, без разлика дали фондот е ликвиден или не</w:t>
      </w:r>
      <w:r w:rsidRPr="00531250">
        <w:rPr>
          <w:rStyle w:val="FootnoteReference"/>
          <w:rFonts w:cs="Arial"/>
          <w:sz w:val="22"/>
          <w:szCs w:val="22"/>
        </w:rPr>
        <w:footnoteReference w:id="26"/>
      </w:r>
      <w:r w:rsidRPr="00531250">
        <w:rPr>
          <w:rFonts w:cs="Arial"/>
          <w:sz w:val="22"/>
          <w:szCs w:val="22"/>
        </w:rPr>
        <w:t>. Додека присилното ликвидирање е иницирано од КХВ, поради неусогласеност на работењето на фондовите со законските прописи, а со цел да се заштитат интересите на вложувачите во фондот.</w:t>
      </w:r>
      <w:r w:rsidRPr="00531250">
        <w:rPr>
          <w:rStyle w:val="FootnoteReference"/>
          <w:rFonts w:cs="Arial"/>
          <w:sz w:val="22"/>
          <w:szCs w:val="22"/>
        </w:rPr>
        <w:footnoteReference w:id="27"/>
      </w:r>
      <w:r w:rsidRPr="00531250">
        <w:rPr>
          <w:rFonts w:cs="Arial"/>
          <w:sz w:val="22"/>
          <w:szCs w:val="22"/>
        </w:rPr>
        <w:t xml:space="preserve"> Ликвидацијата на фондот се остварува преку продажба на уделите на фондот и впаричување на имотот на фондот, намирување на вложувачите во фондот и распределба на остатокот на имотот на фондот, намирување на обврските на Друштвото за управување према доверителите се со цел да се заштитат интересите на вложувачите, доверителите и акционерите на Друштвото за управување.</w:t>
      </w:r>
    </w:p>
    <w:p w:rsidR="006A1BD2" w:rsidRPr="00531250" w:rsidRDefault="006A1BD2" w:rsidP="006A1BD2">
      <w:pPr>
        <w:spacing w:after="120" w:line="240" w:lineRule="auto"/>
        <w:ind w:firstLine="720"/>
        <w:jc w:val="both"/>
        <w:rPr>
          <w:rFonts w:cs="Arial"/>
          <w:sz w:val="22"/>
          <w:szCs w:val="22"/>
        </w:rPr>
      </w:pPr>
    </w:p>
    <w:p w:rsidR="006A1BD2" w:rsidRPr="00531250" w:rsidRDefault="006A1BD2" w:rsidP="006A1BD2">
      <w:pPr>
        <w:spacing w:after="120" w:line="240" w:lineRule="auto"/>
        <w:ind w:left="720"/>
        <w:rPr>
          <w:rFonts w:cs="Arial"/>
          <w:b/>
          <w:sz w:val="22"/>
          <w:szCs w:val="22"/>
        </w:rPr>
      </w:pPr>
      <w:r w:rsidRPr="00531250">
        <w:rPr>
          <w:rFonts w:cs="Arial"/>
          <w:b/>
          <w:sz w:val="22"/>
          <w:szCs w:val="22"/>
        </w:rPr>
        <w:t xml:space="preserve">1.4 Постапка за ликвидација и права и обврски на Ликвидаторот </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Ликвидацијата на фондовите ја спроведува друштво за управување.</w:t>
      </w:r>
      <w:r w:rsidRPr="00531250">
        <w:rPr>
          <w:rStyle w:val="FootnoteReference"/>
          <w:rFonts w:cs="Arial"/>
          <w:sz w:val="22"/>
          <w:szCs w:val="22"/>
        </w:rPr>
        <w:footnoteReference w:id="28"/>
      </w:r>
      <w:r w:rsidRPr="00531250">
        <w:rPr>
          <w:rFonts w:cs="Arial"/>
          <w:sz w:val="22"/>
          <w:szCs w:val="22"/>
        </w:rPr>
        <w:t xml:space="preserve"> За ликвидатор на фондот може да биде именувано лице кое ги исполнува условите кои се утврдени  за член на управен одбор, извршен член на одборот на директори на друштвото за управување.</w:t>
      </w:r>
      <w:r w:rsidRPr="00531250">
        <w:rPr>
          <w:rStyle w:val="FootnoteReference"/>
          <w:rFonts w:cs="Arial"/>
          <w:sz w:val="22"/>
          <w:szCs w:val="22"/>
        </w:rPr>
        <w:footnoteReference w:id="29"/>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 xml:space="preserve">Во случаите кога Друштвото за управување не може да ја изврши ликвидацијата на фондот (кога на друштвото за управување привремено или трајно му е одземена дозволата за работа или е во стечај), тогаш ликвидацијата ја спроведува </w:t>
      </w:r>
      <w:r w:rsidRPr="00531250">
        <w:rPr>
          <w:rFonts w:cs="Arial"/>
          <w:sz w:val="22"/>
          <w:szCs w:val="22"/>
        </w:rPr>
        <w:lastRenderedPageBreak/>
        <w:t>депозитарната банка, а доколку и депозитарната банка не е во можност да ја изврши ликвидацијата на фондот (тоа е во случаите кога на депозитарната банка и е одземена привремено или трајно  дозволата за работа како депизитарна банка) тогаш ликвидаторот го определува КХВ.</w:t>
      </w:r>
      <w:r w:rsidRPr="00531250">
        <w:rPr>
          <w:rStyle w:val="FootnoteReference"/>
          <w:rFonts w:cs="Arial"/>
          <w:sz w:val="22"/>
          <w:szCs w:val="22"/>
        </w:rPr>
        <w:footnoteReference w:id="30"/>
      </w:r>
      <w:r w:rsidRPr="00531250">
        <w:rPr>
          <w:rFonts w:cs="Arial"/>
          <w:sz w:val="22"/>
          <w:szCs w:val="22"/>
        </w:rPr>
        <w:t xml:space="preserve">  Ликвидаторот е должен во законски определениот рок да ги извести сите вложувачи на фондот дека фондот ќе се ликвидира. По донесувањето на одлуката за ликвидација, односно назначувањето на ликвидаторот од страна на КХВ се забранува секаква продажба или откуп на уделите во фондот, освен во исклучителни случаи определени со законот</w:t>
      </w:r>
      <w:r w:rsidRPr="00531250">
        <w:rPr>
          <w:rStyle w:val="FootnoteReference"/>
          <w:rFonts w:cs="Arial"/>
          <w:sz w:val="22"/>
          <w:szCs w:val="22"/>
        </w:rPr>
        <w:footnoteReference w:id="31"/>
      </w:r>
      <w:r w:rsidRPr="00531250">
        <w:rPr>
          <w:rFonts w:cs="Arial"/>
          <w:sz w:val="22"/>
          <w:szCs w:val="22"/>
        </w:rPr>
        <w:t xml:space="preserve">. Целиот имот на фондот се продава и се намируваат обврските на фондот достасани до денот на донесување на одлука за ликвидација. Понатаму, од имотот на фондот се намируваат трошоците за постапката за ликвидација, трошоците за ревизија, за полугодишните и годишните извештаи настанати во текот на постапката за ликвидација, а преостанатата нето вредност се  распределува на сопствениците на уделите во фондот, сразмерно уделите кои ги имаат во фондот. </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 xml:space="preserve">Донесувањето на одлука за ликвидација, односно со стапувањето на должност на  на ликвидатор се менува и самиот статус на фондот кој се ликвидира, при што фондот се стекнува со додавката „во ликвидација“,  а по завршувањето на постапката за ликвидација во </w:t>
      </w:r>
      <w:r w:rsidRPr="00531250">
        <w:rPr>
          <w:rFonts w:cs="Arial"/>
          <w:i/>
          <w:sz w:val="22"/>
          <w:szCs w:val="22"/>
        </w:rPr>
        <w:t>Регистарот на инвестициски фондови</w:t>
      </w:r>
      <w:r w:rsidRPr="00531250">
        <w:rPr>
          <w:rStyle w:val="FootnoteReference"/>
          <w:rFonts w:cs="Arial"/>
          <w:sz w:val="22"/>
          <w:szCs w:val="22"/>
        </w:rPr>
        <w:footnoteReference w:id="32"/>
      </w:r>
      <w:r w:rsidRPr="00531250">
        <w:rPr>
          <w:rFonts w:cs="Arial"/>
          <w:sz w:val="22"/>
          <w:szCs w:val="22"/>
        </w:rPr>
        <w:t xml:space="preserve"> се запишува завршувањето на постапката за ликвидација на фондот.</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Со почнувањето на ликвидационата постапка се изработува почетен финансиски извештај, извештај за состојбата на фондот и план на ликвидационата постапка.</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По завршувањето на постапката за ликвидација, ликвидаторот е должен да достави до КХВ извештај</w:t>
      </w:r>
      <w:r w:rsidRPr="00531250">
        <w:rPr>
          <w:rStyle w:val="FootnoteReference"/>
          <w:rFonts w:cs="Arial"/>
          <w:sz w:val="22"/>
          <w:szCs w:val="22"/>
        </w:rPr>
        <w:footnoteReference w:id="33"/>
      </w:r>
      <w:r w:rsidRPr="00531250">
        <w:rPr>
          <w:rFonts w:cs="Arial"/>
          <w:sz w:val="22"/>
          <w:szCs w:val="22"/>
        </w:rPr>
        <w:t xml:space="preserve"> за спроведувањето на ликвидација и завршен, ликвидациски, извештај, како и да ги достави сите деловни книги на ликвидираниот фонд. </w:t>
      </w:r>
    </w:p>
    <w:p w:rsidR="006A1BD2" w:rsidRPr="00531250" w:rsidRDefault="006A1BD2" w:rsidP="006A1BD2">
      <w:pPr>
        <w:spacing w:after="120" w:line="240" w:lineRule="auto"/>
        <w:jc w:val="both"/>
        <w:rPr>
          <w:rFonts w:cs="Arial"/>
          <w:b/>
          <w:sz w:val="22"/>
          <w:szCs w:val="22"/>
        </w:rPr>
      </w:pPr>
    </w:p>
    <w:p w:rsidR="006A1BD2" w:rsidRPr="00531250" w:rsidRDefault="006A1BD2" w:rsidP="006A1BD2">
      <w:pPr>
        <w:spacing w:after="120" w:line="240" w:lineRule="auto"/>
        <w:ind w:firstLine="720"/>
        <w:rPr>
          <w:rFonts w:cs="Arial"/>
          <w:b/>
          <w:sz w:val="22"/>
          <w:szCs w:val="22"/>
        </w:rPr>
      </w:pPr>
      <w:r w:rsidRPr="00531250">
        <w:rPr>
          <w:rFonts w:cs="Arial"/>
          <w:b/>
          <w:sz w:val="22"/>
          <w:szCs w:val="22"/>
        </w:rPr>
        <w:t>Заклучок</w:t>
      </w:r>
    </w:p>
    <w:p w:rsidR="006A1BD2" w:rsidRPr="00531250" w:rsidRDefault="006A1BD2" w:rsidP="006A1BD2">
      <w:pPr>
        <w:spacing w:after="120" w:line="240" w:lineRule="auto"/>
        <w:ind w:firstLine="720"/>
        <w:jc w:val="both"/>
        <w:rPr>
          <w:rFonts w:cs="Arial"/>
          <w:sz w:val="22"/>
          <w:szCs w:val="22"/>
        </w:rPr>
      </w:pPr>
      <w:r w:rsidRPr="00531250">
        <w:rPr>
          <w:rFonts w:cs="Arial"/>
          <w:sz w:val="22"/>
          <w:szCs w:val="22"/>
        </w:rPr>
        <w:t xml:space="preserve">Во самиот текст е даден теоретски пристап каде институциите: инвестициски фонд и друштва за управување со отворени инвестициски фондови се издвоено прикажани, а  впрочем во пратиката нивната раздвоеност е непостоечка, незамислива. Меѓутоа, за полесно согледување на причините за доброволен или принуден престанок на отворените инвестициски фондови после што неминовно следи ликвидација пристапивме кон едно вакво сегментирање на целината наречена инвестициски фонд. </w:t>
      </w:r>
    </w:p>
    <w:p w:rsidR="006A1BD2" w:rsidRPr="00272F10" w:rsidRDefault="006A1BD2" w:rsidP="006A1BD2">
      <w:pPr>
        <w:spacing w:after="120" w:line="240" w:lineRule="auto"/>
        <w:ind w:firstLine="720"/>
        <w:jc w:val="both"/>
        <w:rPr>
          <w:rFonts w:cs="Arial"/>
          <w:sz w:val="22"/>
          <w:szCs w:val="22"/>
        </w:rPr>
      </w:pPr>
      <w:r w:rsidRPr="00531250">
        <w:rPr>
          <w:rFonts w:cs="Arial"/>
          <w:sz w:val="22"/>
          <w:szCs w:val="22"/>
        </w:rPr>
        <w:t xml:space="preserve">Ликвидацијата на инвестициските фондови има за цел: заштита на интересите на вложувачите и  акционерите, односна на сите заинтересирани страни. Ликвидационата постапка претставува сложена постапка која се одвива во неколку фази пропишани според ЗИФ. Посебноста на постапката за ликвидација на фондовите се разликува од останатите трговски друштва уредени со ЗТД, но за сето она што не е уредено со ЗИФ важат одредбите од ЗТД односно ЗОО. Специфичноста на </w:t>
      </w:r>
      <w:r w:rsidRPr="00531250">
        <w:rPr>
          <w:rFonts w:cs="Arial"/>
          <w:sz w:val="22"/>
          <w:szCs w:val="22"/>
        </w:rPr>
        <w:lastRenderedPageBreak/>
        <w:t xml:space="preserve">ликвидационата постапка се гледа и во назначувањето на ликвидаторот ( supra стр. 9) чија основна обврска е да ја спроведе и раководи со истата. </w:t>
      </w:r>
    </w:p>
    <w:p w:rsidR="006A1BD2" w:rsidRPr="00531250" w:rsidRDefault="006A1BD2" w:rsidP="006A1BD2">
      <w:pPr>
        <w:spacing w:after="120" w:line="240" w:lineRule="auto"/>
        <w:jc w:val="center"/>
        <w:rPr>
          <w:rFonts w:cs="Arial"/>
          <w:b/>
          <w:sz w:val="22"/>
          <w:szCs w:val="22"/>
        </w:rPr>
      </w:pPr>
    </w:p>
    <w:p w:rsidR="006A1BD2" w:rsidRPr="00531250" w:rsidRDefault="006A1BD2" w:rsidP="006A1BD2">
      <w:pPr>
        <w:spacing w:after="120" w:line="240" w:lineRule="auto"/>
        <w:ind w:firstLine="720"/>
        <w:rPr>
          <w:rFonts w:cs="Arial"/>
          <w:b/>
          <w:sz w:val="22"/>
          <w:szCs w:val="22"/>
        </w:rPr>
      </w:pPr>
      <w:r>
        <w:rPr>
          <w:rFonts w:cs="Arial"/>
          <w:b/>
          <w:sz w:val="22"/>
          <w:szCs w:val="22"/>
        </w:rPr>
        <w:t>Л</w:t>
      </w:r>
      <w:r w:rsidRPr="00531250">
        <w:rPr>
          <w:rFonts w:cs="Arial"/>
          <w:b/>
          <w:sz w:val="22"/>
          <w:szCs w:val="22"/>
        </w:rPr>
        <w:t>итература</w:t>
      </w:r>
      <w:r>
        <w:rPr>
          <w:rFonts w:cs="Arial"/>
          <w:b/>
          <w:sz w:val="22"/>
          <w:szCs w:val="22"/>
        </w:rPr>
        <w:t>:</w:t>
      </w:r>
    </w:p>
    <w:p w:rsidR="006A1BD2" w:rsidRPr="00531250" w:rsidRDefault="006A1BD2" w:rsidP="006A1BD2">
      <w:pPr>
        <w:spacing w:after="0" w:line="240" w:lineRule="auto"/>
        <w:ind w:left="720" w:hanging="720"/>
        <w:jc w:val="both"/>
        <w:rPr>
          <w:rFonts w:cs="Arial"/>
          <w:sz w:val="22"/>
          <w:szCs w:val="22"/>
        </w:rPr>
      </w:pPr>
      <w:r w:rsidRPr="00531250">
        <w:rPr>
          <w:rFonts w:cs="Arial"/>
          <w:sz w:val="22"/>
          <w:szCs w:val="22"/>
        </w:rPr>
        <w:t xml:space="preserve">Недков, М.,  Беличанец, Т. : </w:t>
      </w:r>
      <w:r w:rsidRPr="00531250">
        <w:rPr>
          <w:rFonts w:cs="Arial"/>
          <w:i/>
          <w:sz w:val="22"/>
          <w:szCs w:val="22"/>
        </w:rPr>
        <w:t>Право на Друштвата, Книга 2</w:t>
      </w:r>
      <w:r w:rsidRPr="00531250">
        <w:rPr>
          <w:rFonts w:cs="Arial"/>
          <w:sz w:val="22"/>
          <w:szCs w:val="22"/>
        </w:rPr>
        <w:t>, Проект за деловното опкружување на УСАИД, Скопје, 2008;</w:t>
      </w:r>
    </w:p>
    <w:p w:rsidR="006A1BD2" w:rsidRPr="00531250" w:rsidRDefault="006A1BD2" w:rsidP="006A1BD2">
      <w:pPr>
        <w:spacing w:after="0" w:line="240" w:lineRule="auto"/>
        <w:ind w:left="720" w:hanging="720"/>
        <w:jc w:val="both"/>
        <w:rPr>
          <w:rFonts w:cs="Arial"/>
          <w:sz w:val="22"/>
          <w:szCs w:val="22"/>
        </w:rPr>
      </w:pPr>
      <w:r w:rsidRPr="00531250">
        <w:rPr>
          <w:rFonts w:cs="Arial"/>
          <w:sz w:val="22"/>
          <w:szCs w:val="22"/>
        </w:rPr>
        <w:t xml:space="preserve">Недков, М.,  Беличанец, Т., Градишки- Лазаревска, Е.: </w:t>
      </w:r>
      <w:r w:rsidRPr="00531250">
        <w:rPr>
          <w:rFonts w:cs="Arial"/>
          <w:i/>
          <w:sz w:val="22"/>
          <w:szCs w:val="22"/>
        </w:rPr>
        <w:t>Право на Друштвата</w:t>
      </w:r>
      <w:r w:rsidRPr="00531250">
        <w:rPr>
          <w:rFonts w:cs="Arial"/>
          <w:sz w:val="22"/>
          <w:szCs w:val="22"/>
        </w:rPr>
        <w:t>, Универзитет „Св. Кирил и Методиј“, Правен факултет „Јустинијан Први“, Скопје, 2009;</w:t>
      </w:r>
    </w:p>
    <w:p w:rsidR="006A1BD2" w:rsidRPr="00531250" w:rsidRDefault="006A1BD2" w:rsidP="006A1BD2">
      <w:pPr>
        <w:pStyle w:val="FootnoteText"/>
        <w:spacing w:after="0" w:line="240" w:lineRule="auto"/>
        <w:ind w:left="720" w:hanging="720"/>
        <w:rPr>
          <w:rFonts w:cs="Arial"/>
          <w:sz w:val="22"/>
          <w:szCs w:val="22"/>
        </w:rPr>
      </w:pPr>
      <w:r w:rsidRPr="00531250">
        <w:rPr>
          <w:rFonts w:cs="Arial"/>
          <w:i/>
          <w:sz w:val="22"/>
          <w:szCs w:val="22"/>
        </w:rPr>
        <w:t>Закон за инвестициски фондови,</w:t>
      </w:r>
      <w:r w:rsidRPr="00531250">
        <w:rPr>
          <w:rFonts w:cs="Arial"/>
          <w:sz w:val="22"/>
          <w:szCs w:val="22"/>
        </w:rPr>
        <w:t xml:space="preserve"> број 12 од 28.01.2009 година, Службен Весник на Република Македонија;</w:t>
      </w:r>
    </w:p>
    <w:p w:rsidR="006A1BD2" w:rsidRPr="00531250" w:rsidRDefault="006A1BD2" w:rsidP="006A1BD2">
      <w:pPr>
        <w:pStyle w:val="FootnoteText"/>
        <w:spacing w:after="0" w:line="240" w:lineRule="auto"/>
        <w:ind w:left="720" w:hanging="720"/>
        <w:rPr>
          <w:rFonts w:cs="Arial"/>
          <w:sz w:val="22"/>
          <w:szCs w:val="22"/>
        </w:rPr>
      </w:pPr>
      <w:r w:rsidRPr="00531250">
        <w:rPr>
          <w:rFonts w:cs="Arial"/>
          <w:i/>
          <w:sz w:val="22"/>
          <w:szCs w:val="22"/>
        </w:rPr>
        <w:t>Закон за изменување на законот за инвестициски фондови</w:t>
      </w:r>
      <w:r w:rsidRPr="00531250">
        <w:rPr>
          <w:rFonts w:cs="Arial"/>
          <w:sz w:val="22"/>
          <w:szCs w:val="22"/>
        </w:rPr>
        <w:t>, број 67 од 14.05.2010 година, Службен Весник на Република Македонија;</w:t>
      </w:r>
    </w:p>
    <w:p w:rsidR="006A1BD2" w:rsidRPr="00531250" w:rsidRDefault="006A1BD2" w:rsidP="006A1BD2">
      <w:pPr>
        <w:spacing w:after="0" w:line="240" w:lineRule="auto"/>
        <w:ind w:left="720" w:hanging="720"/>
        <w:jc w:val="both"/>
        <w:rPr>
          <w:rFonts w:cs="Arial"/>
          <w:sz w:val="22"/>
          <w:szCs w:val="22"/>
        </w:rPr>
      </w:pPr>
      <w:r w:rsidRPr="00531250">
        <w:rPr>
          <w:rFonts w:cs="Arial"/>
          <w:i/>
          <w:sz w:val="22"/>
          <w:szCs w:val="22"/>
        </w:rPr>
        <w:t>Закон за инвестициони фондови</w:t>
      </w:r>
      <w:r w:rsidRPr="00531250">
        <w:rPr>
          <w:rFonts w:cs="Arial"/>
          <w:sz w:val="22"/>
          <w:szCs w:val="22"/>
        </w:rPr>
        <w:t>, Службен весник на РМ, бр.9 од 10.02.2000 година;</w:t>
      </w:r>
    </w:p>
    <w:p w:rsidR="006A1BD2" w:rsidRPr="00531250" w:rsidRDefault="006A1BD2" w:rsidP="006A1BD2">
      <w:pPr>
        <w:spacing w:after="0" w:line="240" w:lineRule="auto"/>
        <w:ind w:left="720" w:hanging="720"/>
        <w:jc w:val="both"/>
        <w:rPr>
          <w:rFonts w:cs="Arial"/>
          <w:sz w:val="22"/>
          <w:szCs w:val="22"/>
        </w:rPr>
      </w:pPr>
      <w:r w:rsidRPr="00531250">
        <w:rPr>
          <w:rFonts w:cs="Arial"/>
          <w:i/>
          <w:sz w:val="22"/>
          <w:szCs w:val="22"/>
        </w:rPr>
        <w:t>Закон за стечај,</w:t>
      </w:r>
      <w:r w:rsidRPr="00531250">
        <w:rPr>
          <w:rFonts w:cs="Arial"/>
          <w:sz w:val="22"/>
          <w:szCs w:val="22"/>
        </w:rPr>
        <w:t xml:space="preserve"> Службен весник на РМ, бр. 34/06, 126/06 и 84/06.</w:t>
      </w:r>
    </w:p>
    <w:p w:rsidR="006A1BD2" w:rsidRPr="00531250" w:rsidRDefault="006A1BD2" w:rsidP="006A1BD2">
      <w:pPr>
        <w:spacing w:after="0" w:line="240" w:lineRule="auto"/>
        <w:ind w:left="720" w:hanging="720"/>
        <w:jc w:val="both"/>
        <w:rPr>
          <w:rFonts w:cs="Arial"/>
          <w:sz w:val="22"/>
          <w:szCs w:val="22"/>
        </w:rPr>
      </w:pPr>
      <w:r w:rsidRPr="00531250">
        <w:rPr>
          <w:rFonts w:cs="Arial"/>
          <w:i/>
          <w:sz w:val="22"/>
          <w:szCs w:val="22"/>
        </w:rPr>
        <w:t>Закон за трговски друштва,</w:t>
      </w:r>
      <w:r w:rsidRPr="00531250">
        <w:rPr>
          <w:rFonts w:cs="Arial"/>
          <w:sz w:val="22"/>
          <w:szCs w:val="22"/>
        </w:rPr>
        <w:t xml:space="preserve"> Службен весник на Република Македонија бр. 28 од 30.04.2004 год, 84/05, 25/07, Одлука на Уставен суд. 17/08, 87/08, Одлука на Уставен суд 23/09, 42/10, 48/10 ;</w:t>
      </w:r>
    </w:p>
    <w:p w:rsidR="006A1BD2" w:rsidRPr="00531250" w:rsidRDefault="006A1BD2" w:rsidP="006A1BD2">
      <w:pPr>
        <w:spacing w:after="0" w:line="240" w:lineRule="auto"/>
        <w:ind w:left="720" w:hanging="720"/>
        <w:jc w:val="both"/>
        <w:rPr>
          <w:rFonts w:cs="Arial"/>
          <w:b/>
          <w:sz w:val="22"/>
          <w:szCs w:val="22"/>
        </w:rPr>
      </w:pPr>
      <w:r w:rsidRPr="00531250">
        <w:rPr>
          <w:rFonts w:cs="Arial"/>
          <w:i/>
          <w:sz w:val="22"/>
          <w:szCs w:val="22"/>
        </w:rPr>
        <w:t>Правилник за</w:t>
      </w:r>
      <w:r w:rsidRPr="00531250">
        <w:rPr>
          <w:rFonts w:cs="Arial"/>
          <w:b/>
          <w:i/>
          <w:sz w:val="22"/>
          <w:szCs w:val="22"/>
        </w:rPr>
        <w:t xml:space="preserve"> </w:t>
      </w:r>
      <w:r w:rsidRPr="00531250">
        <w:rPr>
          <w:rFonts w:cs="Arial"/>
          <w:i/>
          <w:sz w:val="22"/>
          <w:szCs w:val="22"/>
        </w:rPr>
        <w:t xml:space="preserve">утврдување на  постапката, трошоците и роковите за ликвидација </w:t>
      </w:r>
      <w:r w:rsidRPr="00531250">
        <w:rPr>
          <w:rFonts w:cs="Arial"/>
          <w:b/>
          <w:i/>
          <w:sz w:val="22"/>
          <w:szCs w:val="22"/>
        </w:rPr>
        <w:t>на отворените инвестициски фондови</w:t>
      </w:r>
      <w:r w:rsidRPr="00531250">
        <w:rPr>
          <w:rFonts w:cs="Arial"/>
          <w:b/>
          <w:sz w:val="22"/>
          <w:szCs w:val="22"/>
        </w:rPr>
        <w:t>, Комисија за хартии од вредност на Република Македонија, Скопје, 22.12.2009 година.</w:t>
      </w:r>
    </w:p>
    <w:p w:rsidR="00A2518B" w:rsidRDefault="006A1BD2"/>
    <w:sectPr w:rsidR="00A251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BD2" w:rsidRDefault="006A1BD2" w:rsidP="006A1BD2">
      <w:pPr>
        <w:spacing w:after="0" w:line="240" w:lineRule="auto"/>
      </w:pPr>
      <w:r>
        <w:separator/>
      </w:r>
    </w:p>
  </w:endnote>
  <w:endnote w:type="continuationSeparator" w:id="0">
    <w:p w:rsidR="006A1BD2" w:rsidRDefault="006A1BD2" w:rsidP="006A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alatino-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BD2" w:rsidRDefault="006A1BD2" w:rsidP="006A1BD2">
      <w:pPr>
        <w:spacing w:after="0" w:line="240" w:lineRule="auto"/>
      </w:pPr>
      <w:r>
        <w:separator/>
      </w:r>
    </w:p>
  </w:footnote>
  <w:footnote w:type="continuationSeparator" w:id="0">
    <w:p w:rsidR="006A1BD2" w:rsidRDefault="006A1BD2" w:rsidP="006A1BD2">
      <w:pPr>
        <w:spacing w:after="0" w:line="240" w:lineRule="auto"/>
      </w:pPr>
      <w:r>
        <w:continuationSeparator/>
      </w:r>
    </w:p>
  </w:footnote>
  <w:footnote w:id="1">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Закон за инвестициски фондови, број 12 од 28.01.2009 година, Службен Весник на Република Македонија.</w:t>
      </w:r>
    </w:p>
  </w:footnote>
  <w:footnote w:id="2">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Закон </w:t>
      </w:r>
      <w:r w:rsidRPr="00752EBA">
        <w:rPr>
          <w:rFonts w:cs="Arial"/>
          <w:sz w:val="24"/>
          <w:szCs w:val="24"/>
        </w:rPr>
        <w:t>за изменување на законот за инвестицсики фондови, број 67 од 14.05.2010 година, Службен Весник на Република Македонија.</w:t>
      </w:r>
    </w:p>
  </w:footnote>
  <w:footnote w:id="3">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Отворени, </w:t>
      </w:r>
      <w:r w:rsidRPr="00752EBA">
        <w:rPr>
          <w:rFonts w:cs="Arial"/>
          <w:sz w:val="24"/>
          <w:szCs w:val="24"/>
        </w:rPr>
        <w:t>затворени и приватни инвестициски фондови.</w:t>
      </w:r>
    </w:p>
  </w:footnote>
  <w:footnote w:id="4">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Во </w:t>
      </w:r>
      <w:r w:rsidRPr="00752EBA">
        <w:rPr>
          <w:rFonts w:cs="Arial"/>
          <w:sz w:val="24"/>
          <w:szCs w:val="24"/>
        </w:rPr>
        <w:t>Република Македонија затворени инвестициски фондови не се основани до денес.</w:t>
      </w:r>
    </w:p>
  </w:footnote>
  <w:footnote w:id="5">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Чл.3 </w:t>
      </w:r>
      <w:r w:rsidRPr="00752EBA">
        <w:rPr>
          <w:rFonts w:cs="Arial"/>
          <w:sz w:val="24"/>
          <w:szCs w:val="24"/>
        </w:rPr>
        <w:t>ст.2 од Закон за инвестициски фоднови, број 12 од 28.01.2009 година, Службен Весник на Република Македонија.</w:t>
      </w:r>
    </w:p>
  </w:footnote>
  <w:footnote w:id="6">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Странско </w:t>
      </w:r>
      <w:r w:rsidRPr="00752EBA">
        <w:rPr>
          <w:rFonts w:cs="Arial"/>
          <w:sz w:val="24"/>
          <w:szCs w:val="24"/>
        </w:rPr>
        <w:t>друштво за управување може да добие дозвола за работа да ги врши своите услуги на територијата на РМ исклучиво преку своја продружница која има добиено дозвола за работење од Комисијата за хартии од вредност (повеќе види чл. 11, idem ).</w:t>
      </w:r>
    </w:p>
  </w:footnote>
  <w:footnote w:id="7">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Idem, </w:t>
      </w:r>
      <w:r w:rsidRPr="00752EBA">
        <w:rPr>
          <w:rFonts w:cs="Arial"/>
          <w:sz w:val="24"/>
          <w:szCs w:val="24"/>
        </w:rPr>
        <w:t xml:space="preserve">чл.9 ст.1 </w:t>
      </w:r>
    </w:p>
  </w:footnote>
  <w:footnote w:id="8">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Закон </w:t>
      </w:r>
      <w:r w:rsidRPr="00752EBA">
        <w:rPr>
          <w:rFonts w:cs="Arial"/>
          <w:sz w:val="24"/>
          <w:szCs w:val="24"/>
        </w:rPr>
        <w:t>за трговски друштва, Службен весник на Република Македонија бр. 28 од 30.04.2008 година; бр.84/05, бр.25 /07, бр. 87/08, бр.43/10, бр. 47/10 . Друштвото за управување се основа како Акционерско друштво.</w:t>
      </w:r>
    </w:p>
  </w:footnote>
  <w:footnote w:id="9">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Недков </w:t>
      </w:r>
      <w:r w:rsidRPr="00752EBA">
        <w:rPr>
          <w:rFonts w:cs="Arial"/>
          <w:sz w:val="24"/>
          <w:szCs w:val="24"/>
        </w:rPr>
        <w:t>М,  Беличанец Т, Градишки- Лазаревска Е: Право на Друштвата  (2009), Универзитет „Св. Кирил и Методиј“, Правен факултет „Јустинијан Први“, Скопје, стр. 221.</w:t>
      </w:r>
    </w:p>
  </w:footnote>
  <w:footnote w:id="10">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Види </w:t>
      </w:r>
      <w:r w:rsidRPr="00752EBA">
        <w:rPr>
          <w:rFonts w:cs="Arial"/>
          <w:sz w:val="24"/>
          <w:szCs w:val="24"/>
        </w:rPr>
        <w:t>чл. 24 од ЗТД.</w:t>
      </w:r>
    </w:p>
  </w:footnote>
  <w:footnote w:id="11">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Чл.44  </w:t>
      </w:r>
      <w:r w:rsidRPr="00752EBA">
        <w:rPr>
          <w:rFonts w:cs="Arial"/>
          <w:sz w:val="24"/>
          <w:szCs w:val="24"/>
        </w:rPr>
        <w:t>Закон за инвестициони фондови, Службен весник на РМ, бр.9 од 10.02.2000 година.</w:t>
      </w:r>
    </w:p>
  </w:footnote>
  <w:footnote w:id="12">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Чл.11 </w:t>
      </w:r>
      <w:r w:rsidRPr="00752EBA">
        <w:rPr>
          <w:rFonts w:cs="Arial"/>
          <w:sz w:val="24"/>
          <w:szCs w:val="24"/>
        </w:rPr>
        <w:t>од Закон  за  изменување  и дополнување на Законот за инвестициони фондови, Службен весник на РМ, бр.29 од 09.03.2007 година.</w:t>
      </w:r>
    </w:p>
  </w:footnote>
  <w:footnote w:id="13">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Види </w:t>
      </w:r>
      <w:r w:rsidRPr="00752EBA">
        <w:rPr>
          <w:rFonts w:cs="Arial"/>
          <w:sz w:val="24"/>
          <w:szCs w:val="24"/>
        </w:rPr>
        <w:t>чл. 5 од ЗИФ.</w:t>
      </w:r>
    </w:p>
  </w:footnote>
  <w:footnote w:id="14">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Недков </w:t>
      </w:r>
      <w:r w:rsidRPr="00752EBA">
        <w:rPr>
          <w:rFonts w:cs="Arial"/>
          <w:sz w:val="24"/>
          <w:szCs w:val="24"/>
        </w:rPr>
        <w:t>М,  Беличанец Т: Право на Друштвата, Книга 2,  (2008), Проект за деловното опкружување на УСАИД, Скопје. Стр.426 . Стечајот во нашата домашна пракса неретко се нарекуваше присилно порамнување, присилна ликвидација, односно план за реоранизација.</w:t>
      </w:r>
    </w:p>
  </w:footnote>
  <w:footnote w:id="15">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За </w:t>
      </w:r>
      <w:r w:rsidRPr="00752EBA">
        <w:rPr>
          <w:rFonts w:cs="Arial"/>
          <w:sz w:val="24"/>
          <w:szCs w:val="24"/>
        </w:rPr>
        <w:t>ова поблиску види член 5 ст.1 ст 2. И ст.3 од ЗИФ .</w:t>
      </w:r>
    </w:p>
  </w:footnote>
  <w:footnote w:id="16">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Се </w:t>
      </w:r>
      <w:r w:rsidRPr="00752EBA">
        <w:rPr>
          <w:rFonts w:cs="Arial"/>
          <w:sz w:val="24"/>
          <w:szCs w:val="24"/>
        </w:rPr>
        <w:t>мисли на трговските друштва воопшто.</w:t>
      </w:r>
    </w:p>
  </w:footnote>
  <w:footnote w:id="17">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Недков </w:t>
      </w:r>
      <w:r w:rsidRPr="00752EBA">
        <w:rPr>
          <w:rFonts w:cs="Arial"/>
          <w:sz w:val="24"/>
          <w:szCs w:val="24"/>
        </w:rPr>
        <w:t>М,  Беличанец Т, Градишки- лазаревска Е: Право на Друштвата  (2009), Универзитет „Св. Кирил и Методиј“, Правен фалултет „Јустинијан Први“, Скопје, стр. 221.</w:t>
      </w:r>
    </w:p>
  </w:footnote>
  <w:footnote w:id="18">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Член </w:t>
      </w:r>
      <w:r w:rsidRPr="00752EBA">
        <w:rPr>
          <w:rFonts w:cs="Arial"/>
          <w:sz w:val="24"/>
          <w:szCs w:val="24"/>
        </w:rPr>
        <w:t>120,121 и 123 од ЗИФ.</w:t>
      </w:r>
    </w:p>
  </w:footnote>
  <w:footnote w:id="19">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Види: </w:t>
      </w:r>
      <w:r w:rsidRPr="00752EBA">
        <w:rPr>
          <w:rFonts w:cs="Arial"/>
          <w:sz w:val="24"/>
          <w:szCs w:val="24"/>
        </w:rPr>
        <w:t>ликвидација на ортаклак чл.698-703 од ЗОО.</w:t>
      </w:r>
    </w:p>
  </w:footnote>
  <w:footnote w:id="20">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Приватните </w:t>
      </w:r>
      <w:r w:rsidRPr="00752EBA">
        <w:rPr>
          <w:rFonts w:cs="Arial"/>
          <w:sz w:val="24"/>
          <w:szCs w:val="24"/>
        </w:rPr>
        <w:t>фондови, во принцип, се основаат на определено време, со можност за обнова на период за кој се основани.</w:t>
      </w:r>
    </w:p>
  </w:footnote>
  <w:footnote w:id="21">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Види </w:t>
      </w:r>
      <w:r w:rsidRPr="00752EBA">
        <w:rPr>
          <w:rFonts w:cs="Arial"/>
          <w:sz w:val="24"/>
          <w:szCs w:val="24"/>
        </w:rPr>
        <w:t>чл.58 ст.2 од ЗИФ .</w:t>
      </w:r>
    </w:p>
  </w:footnote>
  <w:footnote w:id="22">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Види </w:t>
      </w:r>
      <w:r w:rsidRPr="00752EBA">
        <w:rPr>
          <w:rFonts w:cs="Arial"/>
          <w:sz w:val="24"/>
          <w:szCs w:val="24"/>
        </w:rPr>
        <w:t xml:space="preserve">чл. 59 ст.4 </w:t>
      </w:r>
    </w:p>
  </w:footnote>
  <w:footnote w:id="23">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Повеќе </w:t>
      </w:r>
      <w:r w:rsidRPr="00752EBA">
        <w:rPr>
          <w:rFonts w:cs="Arial"/>
          <w:sz w:val="24"/>
          <w:szCs w:val="24"/>
        </w:rPr>
        <w:t>види чл.59 ст.2 и ст.3 од ЗИФ.</w:t>
      </w:r>
    </w:p>
  </w:footnote>
  <w:footnote w:id="24">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Закон </w:t>
      </w:r>
      <w:r w:rsidRPr="00752EBA">
        <w:rPr>
          <w:rFonts w:cs="Arial"/>
          <w:sz w:val="24"/>
          <w:szCs w:val="24"/>
        </w:rPr>
        <w:t>за инвестициони фондови, Службен весник на РМ, бр.9 од 10.02.2000 година, чл. 27 .</w:t>
      </w:r>
    </w:p>
  </w:footnote>
  <w:footnote w:id="25">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Чл. 7 од Закон за  изменување  и дополнување на Законот за инвестициони фондови, Службен весник на РМ, бр.29 од 09.03.2007 година </w:t>
      </w:r>
    </w:p>
  </w:footnote>
  <w:footnote w:id="26">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Друштвото </w:t>
      </w:r>
      <w:r w:rsidRPr="00752EBA">
        <w:rPr>
          <w:rFonts w:cs="Arial"/>
          <w:sz w:val="24"/>
          <w:szCs w:val="24"/>
        </w:rPr>
        <w:t>за управување „Мој фонд“ заедно со инвестицикиот фонд беше ликвидирано со одлука на неговите акционери, а после продажбата на целиот имот на фондот, сите вложувачите во фондот беа намирени со неколку процентна добивка.</w:t>
      </w:r>
    </w:p>
  </w:footnote>
  <w:footnote w:id="27">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 </w:t>
      </w:r>
      <w:r w:rsidRPr="00752EBA">
        <w:rPr>
          <w:rFonts w:cs="Arial"/>
          <w:sz w:val="24"/>
          <w:szCs w:val="24"/>
        </w:rPr>
        <w:t>Присилна“ постапка за ликвидација од овој тип имаше кај еден од тогаш постоечките фондови во РМ . КХВ во февруари 2010 година донесе одлука за ликвидација на Друштвото за управување "Сава Инвест" АД Скопје поради неусогласеност на  своето работење со одредбите од ЗИФ, а за двата отворени инвестициски фонда со кои управува, „Сава инвест балансирачки фонд“ и „Сава инвест растечки фонд - Акции“, се спроведе ликвидациона постапка од  депозитарната банка на фондовите „НЛБ Тутунска банка“.</w:t>
      </w:r>
    </w:p>
  </w:footnote>
  <w:footnote w:id="28">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Чл. </w:t>
      </w:r>
      <w:r w:rsidRPr="00752EBA">
        <w:rPr>
          <w:rFonts w:cs="Arial"/>
          <w:sz w:val="24"/>
          <w:szCs w:val="24"/>
        </w:rPr>
        <w:t>120 од ЗИФ.</w:t>
      </w:r>
    </w:p>
  </w:footnote>
  <w:footnote w:id="29">
    <w:p w:rsidR="006A1BD2" w:rsidRPr="00752EBA" w:rsidRDefault="006A1BD2" w:rsidP="006A1BD2">
      <w:pPr>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Чл. </w:t>
      </w:r>
      <w:r w:rsidRPr="00752EBA">
        <w:rPr>
          <w:rFonts w:cs="Arial"/>
          <w:sz w:val="24"/>
          <w:szCs w:val="24"/>
        </w:rPr>
        <w:t>4, Правилник за</w:t>
      </w:r>
      <w:r w:rsidRPr="00752EBA">
        <w:rPr>
          <w:rFonts w:cs="Arial"/>
          <w:b/>
          <w:sz w:val="24"/>
          <w:szCs w:val="24"/>
        </w:rPr>
        <w:t xml:space="preserve"> </w:t>
      </w:r>
      <w:r w:rsidRPr="00752EBA">
        <w:rPr>
          <w:rFonts w:cs="Arial"/>
          <w:sz w:val="24"/>
          <w:szCs w:val="24"/>
        </w:rPr>
        <w:t>утврдување на  постапката, трошоците и роковите за ликвидација на отворените инвестициски фондови, донесен 22.12.2009 година од Комисија за хартии од вредност, во согласност со ЗТД чл.539 ст.1 .</w:t>
      </w:r>
    </w:p>
  </w:footnote>
  <w:footnote w:id="30">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Види </w:t>
      </w:r>
      <w:r w:rsidRPr="00752EBA">
        <w:rPr>
          <w:rFonts w:cs="Arial"/>
          <w:sz w:val="24"/>
          <w:szCs w:val="24"/>
        </w:rPr>
        <w:t>чл. 120 од ЗИФ .</w:t>
      </w:r>
    </w:p>
  </w:footnote>
  <w:footnote w:id="31">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Види </w:t>
      </w:r>
      <w:r w:rsidRPr="00752EBA">
        <w:rPr>
          <w:rFonts w:cs="Arial"/>
          <w:sz w:val="24"/>
          <w:szCs w:val="24"/>
        </w:rPr>
        <w:t>чл. 121 ст. 3 Од ЗИФ</w:t>
      </w:r>
    </w:p>
  </w:footnote>
  <w:footnote w:id="32">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Рeгистарот </w:t>
      </w:r>
      <w:r w:rsidRPr="00752EBA">
        <w:rPr>
          <w:rFonts w:cs="Arial"/>
          <w:sz w:val="24"/>
          <w:szCs w:val="24"/>
        </w:rPr>
        <w:t>на инвестициски фондови се води при Комисијата за хартии од вредност на Р. Македонија.</w:t>
      </w:r>
    </w:p>
  </w:footnote>
  <w:footnote w:id="33">
    <w:p w:rsidR="006A1BD2" w:rsidRPr="00752EBA" w:rsidRDefault="006A1BD2" w:rsidP="006A1BD2">
      <w:pPr>
        <w:pStyle w:val="FootnoteText"/>
        <w:spacing w:after="0" w:line="240" w:lineRule="auto"/>
        <w:ind w:firstLine="720"/>
        <w:jc w:val="both"/>
        <w:rPr>
          <w:rFonts w:cs="Arial"/>
          <w:sz w:val="24"/>
          <w:szCs w:val="24"/>
        </w:rPr>
      </w:pPr>
      <w:r w:rsidRPr="00752EBA">
        <w:rPr>
          <w:rStyle w:val="FootnoteReference"/>
          <w:rFonts w:cs="Arial"/>
          <w:sz w:val="24"/>
          <w:szCs w:val="24"/>
        </w:rPr>
        <w:footnoteRef/>
      </w:r>
      <w:r w:rsidRPr="00752EBA">
        <w:rPr>
          <w:rFonts w:cs="Arial"/>
          <w:sz w:val="24"/>
          <w:szCs w:val="24"/>
        </w:rPr>
        <w:t xml:space="preserve"> </w:t>
      </w:r>
      <w:r w:rsidRPr="00752EBA">
        <w:rPr>
          <w:rFonts w:cs="Arial"/>
          <w:sz w:val="24"/>
          <w:szCs w:val="24"/>
        </w:rPr>
        <w:t xml:space="preserve">Почетниот </w:t>
      </w:r>
      <w:r w:rsidRPr="00752EBA">
        <w:rPr>
          <w:rFonts w:cs="Arial"/>
          <w:sz w:val="24"/>
          <w:szCs w:val="24"/>
        </w:rPr>
        <w:t>и заршниот финансиски извештај се изготвува согласно правилата за изработка на годишните финансиски извештаи. Види чл.9 од Правилникот за</w:t>
      </w:r>
      <w:r w:rsidRPr="00752EBA">
        <w:rPr>
          <w:rFonts w:cs="Arial"/>
          <w:b/>
          <w:sz w:val="24"/>
          <w:szCs w:val="24"/>
        </w:rPr>
        <w:t xml:space="preserve"> </w:t>
      </w:r>
      <w:r w:rsidRPr="00752EBA">
        <w:rPr>
          <w:rFonts w:cs="Arial"/>
          <w:sz w:val="24"/>
          <w:szCs w:val="24"/>
        </w:rPr>
        <w:t>утврдување на постапката, трошоците и роковите за ликвидација на отворените инвестициски фондови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B2D00"/>
    <w:multiLevelType w:val="multilevel"/>
    <w:tmpl w:val="CC1E569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30D236F0"/>
    <w:multiLevelType w:val="hybridMultilevel"/>
    <w:tmpl w:val="BC3270FE"/>
    <w:lvl w:ilvl="0" w:tplc="B3EAB1FC">
      <w:numFmt w:val="bullet"/>
      <w:lvlText w:val="-"/>
      <w:lvlJc w:val="left"/>
      <w:pPr>
        <w:ind w:left="405" w:hanging="360"/>
      </w:pPr>
      <w:rPr>
        <w:rFonts w:ascii="Times New Roman" w:eastAsia="Calibri"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D2"/>
    <w:rsid w:val="006A1BD2"/>
    <w:rsid w:val="00E11A8D"/>
    <w:rsid w:val="00E5308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D2"/>
    <w:rPr>
      <w:rFonts w:ascii="Arial" w:eastAsia="Calibri" w:hAnsi="Arial" w:cs="Palatino-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1BD2"/>
  </w:style>
  <w:style w:type="character" w:customStyle="1" w:styleId="FootnoteTextChar">
    <w:name w:val="Footnote Text Char"/>
    <w:basedOn w:val="DefaultParagraphFont"/>
    <w:link w:val="FootnoteText"/>
    <w:uiPriority w:val="99"/>
    <w:rsid w:val="006A1BD2"/>
    <w:rPr>
      <w:rFonts w:ascii="Arial" w:eastAsia="Calibri" w:hAnsi="Arial" w:cs="Palatino-Roman"/>
      <w:color w:val="000000"/>
      <w:sz w:val="20"/>
      <w:szCs w:val="20"/>
    </w:rPr>
  </w:style>
  <w:style w:type="character" w:styleId="FootnoteReference">
    <w:name w:val="footnote reference"/>
    <w:aliases w:val="Footnote Reference_LVL6,Footnote Reference_LVL61,Footnote Reference_LVL62,Footnote Reference_LVL63,Footnote Reference_LVL64,Footnote Reference Number,callout,Footnote"/>
    <w:uiPriority w:val="99"/>
    <w:unhideWhenUsed/>
    <w:rsid w:val="006A1BD2"/>
    <w:rPr>
      <w:vertAlign w:val="superscript"/>
    </w:rPr>
  </w:style>
  <w:style w:type="character" w:customStyle="1" w:styleId="hps">
    <w:name w:val="hps"/>
    <w:basedOn w:val="DefaultParagraphFont"/>
    <w:rsid w:val="006A1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D2"/>
    <w:rPr>
      <w:rFonts w:ascii="Arial" w:eastAsia="Calibri" w:hAnsi="Arial" w:cs="Palatino-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1BD2"/>
  </w:style>
  <w:style w:type="character" w:customStyle="1" w:styleId="FootnoteTextChar">
    <w:name w:val="Footnote Text Char"/>
    <w:basedOn w:val="DefaultParagraphFont"/>
    <w:link w:val="FootnoteText"/>
    <w:uiPriority w:val="99"/>
    <w:rsid w:val="006A1BD2"/>
    <w:rPr>
      <w:rFonts w:ascii="Arial" w:eastAsia="Calibri" w:hAnsi="Arial" w:cs="Palatino-Roman"/>
      <w:color w:val="000000"/>
      <w:sz w:val="20"/>
      <w:szCs w:val="20"/>
    </w:rPr>
  </w:style>
  <w:style w:type="character" w:styleId="FootnoteReference">
    <w:name w:val="footnote reference"/>
    <w:aliases w:val="Footnote Reference_LVL6,Footnote Reference_LVL61,Footnote Reference_LVL62,Footnote Reference_LVL63,Footnote Reference_LVL64,Footnote Reference Number,callout,Footnote"/>
    <w:uiPriority w:val="99"/>
    <w:unhideWhenUsed/>
    <w:rsid w:val="006A1BD2"/>
    <w:rPr>
      <w:vertAlign w:val="superscript"/>
    </w:rPr>
  </w:style>
  <w:style w:type="character" w:customStyle="1" w:styleId="hps">
    <w:name w:val="hps"/>
    <w:basedOn w:val="DefaultParagraphFont"/>
    <w:rsid w:val="006A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Miseva</dc:creator>
  <cp:lastModifiedBy>Kristina Miseva</cp:lastModifiedBy>
  <cp:revision>1</cp:revision>
  <dcterms:created xsi:type="dcterms:W3CDTF">2012-11-23T12:47:00Z</dcterms:created>
  <dcterms:modified xsi:type="dcterms:W3CDTF">2012-11-23T12:49:00Z</dcterms:modified>
</cp:coreProperties>
</file>