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93" w:rsidRPr="00F915C9" w:rsidRDefault="00F915C9" w:rsidP="00F915C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915C9">
        <w:rPr>
          <w:b/>
          <w:sz w:val="24"/>
          <w:szCs w:val="24"/>
        </w:rPr>
        <w:t>SCIENTIFIC PROGRAM</w:t>
      </w:r>
    </w:p>
    <w:p w:rsidR="00F915C9" w:rsidRPr="00F915C9" w:rsidRDefault="00F915C9" w:rsidP="00F915C9">
      <w:pPr>
        <w:jc w:val="center"/>
        <w:rPr>
          <w:b/>
          <w:sz w:val="24"/>
          <w:szCs w:val="24"/>
        </w:rPr>
      </w:pPr>
      <w:r w:rsidRPr="00F915C9">
        <w:rPr>
          <w:b/>
          <w:sz w:val="24"/>
          <w:szCs w:val="24"/>
        </w:rPr>
        <w:t>FIRST INTERNATIONAL CONGRESS ON CLINICAL PHARMACY</w:t>
      </w:r>
    </w:p>
    <w:p w:rsidR="00F915C9" w:rsidRDefault="00F915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2642"/>
        <w:gridCol w:w="4692"/>
        <w:gridCol w:w="1227"/>
      </w:tblGrid>
      <w:tr w:rsidR="00F915C9" w:rsidTr="00F915C9">
        <w:tc>
          <w:tcPr>
            <w:tcW w:w="727" w:type="dxa"/>
          </w:tcPr>
          <w:p w:rsidR="00F915C9" w:rsidRDefault="00F915C9" w:rsidP="005542EA">
            <w:r>
              <w:t>Redni br.</w:t>
            </w:r>
          </w:p>
        </w:tc>
        <w:tc>
          <w:tcPr>
            <w:tcW w:w="2642" w:type="dxa"/>
          </w:tcPr>
          <w:p w:rsidR="00F915C9" w:rsidRDefault="00F915C9" w:rsidP="005542EA">
            <w:r>
              <w:t>AUTOR</w:t>
            </w:r>
          </w:p>
        </w:tc>
        <w:tc>
          <w:tcPr>
            <w:tcW w:w="4692" w:type="dxa"/>
          </w:tcPr>
          <w:p w:rsidR="00F915C9" w:rsidRDefault="00F915C9" w:rsidP="005542EA">
            <w:r>
              <w:t>Naslov/tematska cjelina</w:t>
            </w:r>
          </w:p>
        </w:tc>
        <w:tc>
          <w:tcPr>
            <w:tcW w:w="1227" w:type="dxa"/>
          </w:tcPr>
          <w:p w:rsidR="00F915C9" w:rsidRDefault="00F915C9" w:rsidP="005542EA">
            <w:r>
              <w:t>NAČIN IZLAGANJA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1</w:t>
            </w:r>
          </w:p>
        </w:tc>
        <w:tc>
          <w:tcPr>
            <w:tcW w:w="2642" w:type="dxa"/>
          </w:tcPr>
          <w:p w:rsidR="00F915C9" w:rsidRDefault="00F915C9" w:rsidP="005542EA">
            <w:r>
              <w:t>Amiđžić Klarić, Marinović, Marušić, Vrca</w:t>
            </w:r>
          </w:p>
          <w:p w:rsidR="00F915C9" w:rsidRDefault="00F915C9" w:rsidP="005542EA"/>
        </w:tc>
        <w:tc>
          <w:tcPr>
            <w:tcW w:w="4692" w:type="dxa"/>
          </w:tcPr>
          <w:p w:rsidR="00F915C9" w:rsidRDefault="00F915C9" w:rsidP="005542EA">
            <w:pPr>
              <w:jc w:val="left"/>
            </w:pPr>
            <w:r w:rsidRPr="00AD7BD7">
              <w:rPr>
                <w:rFonts w:ascii="Calibri" w:hAnsi="Calibri" w:cs="Calibri"/>
                <w:sz w:val="20"/>
              </w:rPr>
              <w:t>PROCJENA RIZIKA OD NASTANKA VENSKE TROMBOEMBOLIJE I PRIMJENA TROMBOPROFILAKSE U INTERNISTIČKIH BOLESNIKA</w:t>
            </w:r>
            <w:r>
              <w:rPr>
                <w:rFonts w:ascii="Calibri" w:hAnsi="Calibri" w:cs="Calibri"/>
                <w:sz w:val="20"/>
              </w:rPr>
              <w:t xml:space="preserve"> /</w:t>
            </w:r>
            <w:r w:rsidRPr="003A7560">
              <w:rPr>
                <w:rFonts w:ascii="Calibri" w:hAnsi="Calibri" w:cs="Calibri"/>
                <w:color w:val="FF0000"/>
                <w:sz w:val="20"/>
              </w:rPr>
              <w:t>FEP</w:t>
            </w: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2</w:t>
            </w:r>
          </w:p>
        </w:tc>
        <w:tc>
          <w:tcPr>
            <w:tcW w:w="2642" w:type="dxa"/>
          </w:tcPr>
          <w:p w:rsidR="00F915C9" w:rsidRDefault="00F915C9" w:rsidP="005542EA">
            <w:r>
              <w:t>Bačić, Knežević</w:t>
            </w:r>
          </w:p>
          <w:p w:rsidR="00F915C9" w:rsidRDefault="00F915C9" w:rsidP="005542EA"/>
        </w:tc>
        <w:tc>
          <w:tcPr>
            <w:tcW w:w="4692" w:type="dxa"/>
          </w:tcPr>
          <w:p w:rsidR="00F915C9" w:rsidRDefault="00F915C9" w:rsidP="005542EA">
            <w:r w:rsidRPr="00AD7BD7">
              <w:rPr>
                <w:rFonts w:cs="Times New Roman"/>
                <w:noProof/>
                <w:sz w:val="20"/>
                <w:lang w:eastAsia="hr-HR"/>
              </w:rPr>
              <w:t>PROFILAKSA VENSKE TROMBOEMBOLIJE KOD AKUTNO OBOLJELIH INTERNISTIČKIH PACIJENATA OPĆE BOLNICE ZADAR</w:t>
            </w:r>
            <w:r>
              <w:rPr>
                <w:rFonts w:cs="Times New Roman"/>
                <w:noProof/>
                <w:sz w:val="20"/>
                <w:lang w:eastAsia="hr-HR"/>
              </w:rPr>
              <w:t xml:space="preserve"> /</w:t>
            </w:r>
            <w:r w:rsidRPr="0023524B">
              <w:rPr>
                <w:rFonts w:cs="Times New Roman"/>
                <w:noProof/>
                <w:color w:val="FF0000"/>
                <w:sz w:val="20"/>
                <w:lang w:eastAsia="hr-HR"/>
              </w:rPr>
              <w:t>FEP</w:t>
            </w: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3</w:t>
            </w:r>
          </w:p>
        </w:tc>
        <w:tc>
          <w:tcPr>
            <w:tcW w:w="2642" w:type="dxa"/>
          </w:tcPr>
          <w:p w:rsidR="00F915C9" w:rsidRDefault="00F915C9" w:rsidP="005542EA">
            <w:r>
              <w:t>Banić, Modun</w:t>
            </w:r>
          </w:p>
          <w:p w:rsidR="00F915C9" w:rsidRDefault="00F915C9" w:rsidP="005542EA"/>
        </w:tc>
        <w:tc>
          <w:tcPr>
            <w:tcW w:w="4692" w:type="dxa"/>
          </w:tcPr>
          <w:p w:rsidR="00F915C9" w:rsidRPr="003E69A1" w:rsidRDefault="00F915C9" w:rsidP="005542EA">
            <w:pPr>
              <w:jc w:val="left"/>
              <w:rPr>
                <w:rFonts w:ascii="Calibri" w:hAnsi="Calibri"/>
                <w:sz w:val="20"/>
                <w:szCs w:val="28"/>
              </w:rPr>
            </w:pPr>
            <w:r w:rsidRPr="0076362C">
              <w:rPr>
                <w:rFonts w:ascii="Calibri" w:hAnsi="Calibri"/>
                <w:sz w:val="20"/>
                <w:szCs w:val="28"/>
              </w:rPr>
              <w:t>PRIMARNA PREVENCIJA KARDIOVASKULARNIH BOLESTI U LJEKARNAMA – MJERENJE ARTERIJSKOG TLAKA</w:t>
            </w:r>
            <w:r>
              <w:rPr>
                <w:rFonts w:ascii="Calibri" w:hAnsi="Calibri"/>
                <w:sz w:val="20"/>
                <w:szCs w:val="28"/>
              </w:rPr>
              <w:t xml:space="preserve"> /</w:t>
            </w:r>
            <w:r>
              <w:rPr>
                <w:rFonts w:ascii="Calibri" w:hAnsi="Calibri"/>
                <w:color w:val="FF0000"/>
                <w:sz w:val="20"/>
                <w:szCs w:val="28"/>
              </w:rPr>
              <w:t>LJS 2</w:t>
            </w: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4</w:t>
            </w:r>
          </w:p>
        </w:tc>
        <w:tc>
          <w:tcPr>
            <w:tcW w:w="2642" w:type="dxa"/>
          </w:tcPr>
          <w:p w:rsidR="00F915C9" w:rsidRDefault="00F915C9" w:rsidP="005542EA">
            <w:r>
              <w:t>BanićA</w:t>
            </w:r>
          </w:p>
          <w:p w:rsidR="00F915C9" w:rsidRDefault="00F915C9" w:rsidP="005542EA"/>
        </w:tc>
        <w:tc>
          <w:tcPr>
            <w:tcW w:w="4692" w:type="dxa"/>
          </w:tcPr>
          <w:p w:rsidR="00F915C9" w:rsidRPr="0076362C" w:rsidRDefault="00F915C9" w:rsidP="005542EA">
            <w:pPr>
              <w:jc w:val="left"/>
              <w:rPr>
                <w:sz w:val="20"/>
                <w:szCs w:val="28"/>
              </w:rPr>
            </w:pPr>
            <w:r w:rsidRPr="0076362C">
              <w:rPr>
                <w:sz w:val="20"/>
                <w:szCs w:val="28"/>
              </w:rPr>
              <w:t>UČINKOVITOST TERAPIJE HIPERTENZIJE PRIMJENOM FIKSNIH KOMBINACIJA I MONOKOMPONENTNIH LIJEKOVA</w:t>
            </w:r>
            <w:r>
              <w:rPr>
                <w:sz w:val="20"/>
                <w:szCs w:val="28"/>
              </w:rPr>
              <w:t xml:space="preserve"> /</w:t>
            </w:r>
            <w:r w:rsidRPr="005B7082">
              <w:rPr>
                <w:color w:val="FF0000"/>
                <w:sz w:val="20"/>
                <w:szCs w:val="28"/>
              </w:rPr>
              <w:t>FT</w:t>
            </w:r>
          </w:p>
        </w:tc>
        <w:tc>
          <w:tcPr>
            <w:tcW w:w="1227" w:type="dxa"/>
          </w:tcPr>
          <w:p w:rsidR="00F915C9" w:rsidRDefault="00F915C9" w:rsidP="005542EA">
            <w:r>
              <w:t>usmeno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5</w:t>
            </w:r>
          </w:p>
        </w:tc>
        <w:tc>
          <w:tcPr>
            <w:tcW w:w="2642" w:type="dxa"/>
          </w:tcPr>
          <w:p w:rsidR="00F915C9" w:rsidRDefault="00F915C9" w:rsidP="005542EA">
            <w:r>
              <w:t>Bošković, Fuckar, Mandić-Zovko, Leppee, Meštrović, Čulig</w:t>
            </w:r>
          </w:p>
        </w:tc>
        <w:tc>
          <w:tcPr>
            <w:tcW w:w="4692" w:type="dxa"/>
          </w:tcPr>
          <w:p w:rsidR="00F915C9" w:rsidRDefault="00F915C9" w:rsidP="005542EA">
            <w:pPr>
              <w:jc w:val="left"/>
            </w:pPr>
            <w:r w:rsidRPr="0089484F">
              <w:rPr>
                <w:rFonts w:ascii="Calibri" w:eastAsia="Calibri" w:hAnsi="Calibri" w:cs="Times New Roman"/>
                <w:bCs/>
                <w:sz w:val="20"/>
              </w:rPr>
              <w:t>MJERENJE USTRAJNOSTI POMOĆU POKAZATELJA</w:t>
            </w:r>
            <w:r w:rsidRPr="0089484F">
              <w:rPr>
                <w:rFonts w:ascii="Calibri" w:hAnsi="Calibri"/>
                <w:bCs/>
                <w:sz w:val="20"/>
              </w:rPr>
              <w:t xml:space="preserve"> </w:t>
            </w:r>
            <w:r w:rsidRPr="0089484F">
              <w:rPr>
                <w:rFonts w:ascii="Calibri" w:eastAsia="Calibri" w:hAnsi="Calibri" w:cs="Times New Roman"/>
                <w:bCs/>
                <w:sz w:val="20"/>
                <w:lang w:val="it-IT"/>
              </w:rPr>
              <w:t>MEDICATION</w:t>
            </w:r>
            <w:r w:rsidRPr="0089484F">
              <w:rPr>
                <w:rFonts w:ascii="Calibri" w:eastAsia="Calibri" w:hAnsi="Calibri" w:cs="Times New Roman"/>
                <w:bCs/>
                <w:sz w:val="20"/>
              </w:rPr>
              <w:t xml:space="preserve"> </w:t>
            </w:r>
            <w:r w:rsidRPr="0089484F">
              <w:rPr>
                <w:rFonts w:ascii="Calibri" w:eastAsia="Calibri" w:hAnsi="Calibri" w:cs="Times New Roman"/>
                <w:bCs/>
                <w:sz w:val="20"/>
                <w:lang w:val="it-IT"/>
              </w:rPr>
              <w:t>POSSESSION</w:t>
            </w:r>
            <w:r w:rsidRPr="0089484F">
              <w:rPr>
                <w:rFonts w:ascii="Calibri" w:eastAsia="Calibri" w:hAnsi="Calibri" w:cs="Times New Roman"/>
                <w:bCs/>
                <w:sz w:val="20"/>
              </w:rPr>
              <w:t xml:space="preserve"> </w:t>
            </w:r>
            <w:r w:rsidRPr="0089484F">
              <w:rPr>
                <w:rFonts w:ascii="Calibri" w:eastAsia="Calibri" w:hAnsi="Calibri" w:cs="Times New Roman"/>
                <w:bCs/>
                <w:sz w:val="20"/>
                <w:lang w:val="it-IT"/>
              </w:rPr>
              <w:t>RATIO</w:t>
            </w:r>
            <w:r w:rsidRPr="0089484F">
              <w:rPr>
                <w:rFonts w:ascii="Calibri" w:eastAsia="Calibri" w:hAnsi="Calibri" w:cs="Times New Roman"/>
                <w:bCs/>
                <w:sz w:val="20"/>
              </w:rPr>
              <w:t xml:space="preserve"> (</w:t>
            </w:r>
            <w:r w:rsidRPr="0089484F">
              <w:rPr>
                <w:rFonts w:ascii="Calibri" w:eastAsia="Calibri" w:hAnsi="Calibri" w:cs="Times New Roman"/>
                <w:bCs/>
                <w:sz w:val="20"/>
                <w:lang w:val="it-IT"/>
              </w:rPr>
              <w:t>MPR</w:t>
            </w:r>
            <w:r w:rsidRPr="0089484F">
              <w:rPr>
                <w:rFonts w:ascii="Calibri" w:eastAsia="Calibri" w:hAnsi="Calibri" w:cs="Times New Roman"/>
                <w:bCs/>
                <w:sz w:val="20"/>
              </w:rPr>
              <w:t>)</w:t>
            </w:r>
            <w:r>
              <w:rPr>
                <w:rFonts w:ascii="Calibri" w:eastAsia="Calibri" w:hAnsi="Calibri" w:cs="Times New Roman"/>
                <w:bCs/>
                <w:sz w:val="20"/>
              </w:rPr>
              <w:t xml:space="preserve"> /</w:t>
            </w:r>
            <w:r w:rsidRPr="0072641F">
              <w:rPr>
                <w:rFonts w:ascii="Calibri" w:eastAsia="Calibri" w:hAnsi="Calibri" w:cs="Times New Roman"/>
                <w:bCs/>
                <w:color w:val="FF0000"/>
                <w:sz w:val="20"/>
              </w:rPr>
              <w:t>LJS</w:t>
            </w: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6</w:t>
            </w:r>
          </w:p>
        </w:tc>
        <w:tc>
          <w:tcPr>
            <w:tcW w:w="2642" w:type="dxa"/>
          </w:tcPr>
          <w:p w:rsidR="00F915C9" w:rsidRDefault="00F915C9" w:rsidP="005542EA">
            <w:r>
              <w:t>Brajković, Čačić</w:t>
            </w:r>
          </w:p>
        </w:tc>
        <w:tc>
          <w:tcPr>
            <w:tcW w:w="4692" w:type="dxa"/>
          </w:tcPr>
          <w:p w:rsidR="00F915C9" w:rsidRPr="00CB1931" w:rsidRDefault="00F915C9" w:rsidP="005542EA">
            <w:pPr>
              <w:jc w:val="left"/>
              <w:rPr>
                <w:sz w:val="20"/>
                <w:szCs w:val="28"/>
              </w:rPr>
            </w:pPr>
            <w:r w:rsidRPr="00CB1931">
              <w:rPr>
                <w:sz w:val="20"/>
                <w:szCs w:val="28"/>
              </w:rPr>
              <w:t>UČESTALOST KORIŠTENJA BEZRECEPTNIH LIJEKOVA PRIJE I TIJEKOM HOSPITALIZACIJE</w:t>
            </w:r>
            <w:r>
              <w:rPr>
                <w:sz w:val="20"/>
                <w:szCs w:val="28"/>
              </w:rPr>
              <w:t xml:space="preserve"> /</w:t>
            </w:r>
            <w:r w:rsidRPr="00970004">
              <w:rPr>
                <w:color w:val="FF0000"/>
                <w:sz w:val="20"/>
                <w:szCs w:val="28"/>
              </w:rPr>
              <w:t>FEP</w:t>
            </w: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7</w:t>
            </w:r>
          </w:p>
        </w:tc>
        <w:tc>
          <w:tcPr>
            <w:tcW w:w="2642" w:type="dxa"/>
          </w:tcPr>
          <w:p w:rsidR="00F915C9" w:rsidRDefault="00F915C9" w:rsidP="005542EA">
            <w:r>
              <w:t>Cokarić, Modun</w:t>
            </w:r>
          </w:p>
          <w:p w:rsidR="00F915C9" w:rsidRDefault="00F915C9" w:rsidP="005542EA"/>
        </w:tc>
        <w:tc>
          <w:tcPr>
            <w:tcW w:w="4692" w:type="dxa"/>
          </w:tcPr>
          <w:p w:rsidR="00F915C9" w:rsidRDefault="00F915C9" w:rsidP="005542EA">
            <w:pPr>
              <w:jc w:val="left"/>
            </w:pPr>
            <w:r w:rsidRPr="00195A9B">
              <w:rPr>
                <w:rFonts w:ascii="Calibri" w:eastAsia="Calibri" w:hAnsi="Calibri" w:cs="Times New Roman"/>
                <w:sz w:val="20"/>
              </w:rPr>
              <w:t>PRIMARNA PREVENCIJA KARDIOVASKULARNIH BOLESTI U LJEKARNAMA – MJERENJE RAZINE KOLESTEROLA I GLUKOZE U KRVI</w:t>
            </w:r>
            <w:r>
              <w:rPr>
                <w:rFonts w:ascii="Calibri" w:eastAsia="Calibri" w:hAnsi="Calibri" w:cs="Times New Roman"/>
                <w:sz w:val="20"/>
              </w:rPr>
              <w:t xml:space="preserve"> /</w:t>
            </w:r>
            <w:r w:rsidRPr="00970004">
              <w:rPr>
                <w:rFonts w:ascii="Calibri" w:eastAsia="Calibri" w:hAnsi="Calibri" w:cs="Times New Roman"/>
                <w:color w:val="FF0000"/>
                <w:sz w:val="20"/>
              </w:rPr>
              <w:t>LJS2</w:t>
            </w: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8</w:t>
            </w:r>
          </w:p>
        </w:tc>
        <w:tc>
          <w:tcPr>
            <w:tcW w:w="2642" w:type="dxa"/>
          </w:tcPr>
          <w:p w:rsidR="00F915C9" w:rsidRDefault="00F915C9" w:rsidP="005542EA">
            <w:r>
              <w:t>Crnković, Vrca</w:t>
            </w:r>
          </w:p>
          <w:p w:rsidR="00F915C9" w:rsidRDefault="00F915C9" w:rsidP="005542EA"/>
        </w:tc>
        <w:tc>
          <w:tcPr>
            <w:tcW w:w="4692" w:type="dxa"/>
          </w:tcPr>
          <w:p w:rsidR="00F915C9" w:rsidRDefault="00F915C9" w:rsidP="005542EA">
            <w:pPr>
              <w:jc w:val="left"/>
            </w:pPr>
            <w:r w:rsidRPr="00441918">
              <w:rPr>
                <w:rFonts w:ascii="Calibri" w:eastAsia="Calibri" w:hAnsi="Calibri" w:cs="Times New Roman"/>
                <w:sz w:val="20"/>
              </w:rPr>
              <w:t>UČINCI KLINIČKIH FARMACEUTA U BOLNIČKIM USTANOVAMA</w:t>
            </w:r>
            <w:r>
              <w:rPr>
                <w:rFonts w:ascii="Calibri" w:eastAsia="Calibri" w:hAnsi="Calibri" w:cs="Times New Roman"/>
                <w:sz w:val="20"/>
              </w:rPr>
              <w:t xml:space="preserve"> /</w:t>
            </w:r>
            <w:r w:rsidRPr="00301CE0">
              <w:rPr>
                <w:rFonts w:ascii="Calibri" w:eastAsia="Calibri" w:hAnsi="Calibri" w:cs="Times New Roman"/>
                <w:color w:val="FF0000"/>
                <w:sz w:val="20"/>
              </w:rPr>
              <w:t>LJS1</w:t>
            </w:r>
          </w:p>
        </w:tc>
        <w:tc>
          <w:tcPr>
            <w:tcW w:w="1227" w:type="dxa"/>
          </w:tcPr>
          <w:p w:rsidR="00F915C9" w:rsidRDefault="00F915C9" w:rsidP="005542EA">
            <w:r>
              <w:t>usmeno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9</w:t>
            </w:r>
          </w:p>
        </w:tc>
        <w:tc>
          <w:tcPr>
            <w:tcW w:w="2642" w:type="dxa"/>
          </w:tcPr>
          <w:p w:rsidR="00F915C9" w:rsidRDefault="00F915C9" w:rsidP="005542EA">
            <w:r>
              <w:t>Đogić, Vrca, Marušić</w:t>
            </w:r>
          </w:p>
          <w:p w:rsidR="00F915C9" w:rsidRDefault="00F915C9" w:rsidP="005542EA"/>
        </w:tc>
        <w:tc>
          <w:tcPr>
            <w:tcW w:w="4692" w:type="dxa"/>
          </w:tcPr>
          <w:p w:rsidR="00F915C9" w:rsidRDefault="00F915C9" w:rsidP="005542EA">
            <w:pPr>
              <w:jc w:val="left"/>
            </w:pPr>
            <w:r w:rsidRPr="00AC2749">
              <w:rPr>
                <w:rFonts w:ascii="Calibri" w:eastAsia="Calibri" w:hAnsi="Calibri" w:cs="Arial"/>
                <w:sz w:val="20"/>
              </w:rPr>
              <w:t>PRIKLADNOST FARMAKOTERAPIJE KOD BOLESNIKA STARIJE ŽIVOTNE DOBI  NA STACIONARNOJ REHABILITACIJI</w:t>
            </w:r>
            <w:r>
              <w:rPr>
                <w:rFonts w:ascii="Calibri" w:eastAsia="Calibri" w:hAnsi="Calibri" w:cs="Arial"/>
                <w:sz w:val="20"/>
              </w:rPr>
              <w:t xml:space="preserve"> /</w:t>
            </w:r>
            <w:r w:rsidRPr="00F20E36">
              <w:rPr>
                <w:rFonts w:ascii="Calibri" w:eastAsia="Calibri" w:hAnsi="Calibri" w:cs="Arial"/>
                <w:color w:val="FF0000"/>
                <w:sz w:val="20"/>
              </w:rPr>
              <w:t>FT</w:t>
            </w:r>
          </w:p>
        </w:tc>
        <w:tc>
          <w:tcPr>
            <w:tcW w:w="1227" w:type="dxa"/>
          </w:tcPr>
          <w:p w:rsidR="00F915C9" w:rsidRDefault="00F915C9" w:rsidP="005542EA">
            <w:r>
              <w:t>Usmeno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10</w:t>
            </w:r>
          </w:p>
        </w:tc>
        <w:tc>
          <w:tcPr>
            <w:tcW w:w="2642" w:type="dxa"/>
          </w:tcPr>
          <w:p w:rsidR="00F915C9" w:rsidRDefault="00F915C9" w:rsidP="005542EA">
            <w:r>
              <w:t>Đogić, Vrca</w:t>
            </w:r>
          </w:p>
        </w:tc>
        <w:tc>
          <w:tcPr>
            <w:tcW w:w="4692" w:type="dxa"/>
          </w:tcPr>
          <w:p w:rsidR="00F915C9" w:rsidRDefault="00F915C9" w:rsidP="005542EA">
            <w:pPr>
              <w:jc w:val="left"/>
            </w:pPr>
            <w:r w:rsidRPr="00AC2749">
              <w:rPr>
                <w:rFonts w:ascii="Calibri" w:eastAsia="Calibri" w:hAnsi="Calibri" w:cs="Times New Roman"/>
                <w:sz w:val="20"/>
              </w:rPr>
              <w:t>POJAVNOST POTENCIJALNIH KLINIČKI ZNAČAJNIH INTERAKCIJA LIJEKOVA U BOLESNIKA NA STACIONARNOJ REHABILITACIJI</w:t>
            </w:r>
            <w:r>
              <w:rPr>
                <w:rFonts w:ascii="Calibri" w:eastAsia="Calibri" w:hAnsi="Calibri" w:cs="Times New Roman"/>
                <w:sz w:val="20"/>
              </w:rPr>
              <w:t xml:space="preserve"> /</w:t>
            </w:r>
            <w:r w:rsidRPr="00F20E36">
              <w:rPr>
                <w:rFonts w:ascii="Calibri" w:eastAsia="Calibri" w:hAnsi="Calibri" w:cs="Times New Roman"/>
                <w:color w:val="FF0000"/>
                <w:sz w:val="20"/>
              </w:rPr>
              <w:t>FT</w:t>
            </w: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11</w:t>
            </w:r>
          </w:p>
        </w:tc>
        <w:tc>
          <w:tcPr>
            <w:tcW w:w="2642" w:type="dxa"/>
          </w:tcPr>
          <w:p w:rsidR="00F915C9" w:rsidRDefault="00F915C9" w:rsidP="005542EA">
            <w:r>
              <w:t>Fehir Šola</w:t>
            </w:r>
          </w:p>
        </w:tc>
        <w:tc>
          <w:tcPr>
            <w:tcW w:w="4692" w:type="dxa"/>
          </w:tcPr>
          <w:p w:rsidR="00F915C9" w:rsidRDefault="00F915C9" w:rsidP="005542EA">
            <w:pPr>
              <w:jc w:val="left"/>
            </w:pPr>
            <w:r w:rsidRPr="00F678BE">
              <w:rPr>
                <w:rFonts w:ascii="Calibri" w:hAnsi="Calibri"/>
                <w:sz w:val="20"/>
              </w:rPr>
              <w:t>RAZVOJ E-TEČAJEVA ZA KONTINUIRANU EDUKACIJU FARMACEUTA</w:t>
            </w:r>
            <w:r>
              <w:rPr>
                <w:rFonts w:ascii="Calibri" w:hAnsi="Calibri"/>
                <w:sz w:val="20"/>
              </w:rPr>
              <w:t xml:space="preserve"> /</w:t>
            </w:r>
            <w:r>
              <w:rPr>
                <w:rFonts w:ascii="Calibri" w:hAnsi="Calibri"/>
                <w:color w:val="FF0000"/>
                <w:sz w:val="20"/>
              </w:rPr>
              <w:t>E</w:t>
            </w: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12</w:t>
            </w:r>
          </w:p>
        </w:tc>
        <w:tc>
          <w:tcPr>
            <w:tcW w:w="2642" w:type="dxa"/>
          </w:tcPr>
          <w:p w:rsidR="00F915C9" w:rsidRDefault="00F915C9" w:rsidP="005542EA">
            <w:r>
              <w:t>Gajski, Koroman, Mesin</w:t>
            </w:r>
          </w:p>
        </w:tc>
        <w:tc>
          <w:tcPr>
            <w:tcW w:w="4692" w:type="dxa"/>
          </w:tcPr>
          <w:p w:rsidR="00F915C9" w:rsidRDefault="00F915C9" w:rsidP="005542EA">
            <w:pPr>
              <w:jc w:val="left"/>
            </w:pPr>
            <w:r w:rsidRPr="00075729">
              <w:rPr>
                <w:rFonts w:ascii="Calibri" w:eastAsia="Calibri" w:hAnsi="Calibri" w:cs="Times New Roman"/>
                <w:color w:val="000000"/>
                <w:sz w:val="20"/>
              </w:rPr>
              <w:t>PRILAGOĐENOST PRIMARNOG PAKIRANJA LIJEKA SUSTAVU RASPODJELE JEDINIČNE TERAPIJE U HRVATSKOJ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 xml:space="preserve"> /</w:t>
            </w:r>
            <w:r w:rsidRPr="001A2EBB">
              <w:rPr>
                <w:rFonts w:ascii="Calibri" w:eastAsia="Calibri" w:hAnsi="Calibri" w:cs="Times New Roman"/>
                <w:color w:val="FF0000"/>
                <w:sz w:val="20"/>
              </w:rPr>
              <w:t>LJS1</w:t>
            </w: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13</w:t>
            </w:r>
          </w:p>
        </w:tc>
        <w:tc>
          <w:tcPr>
            <w:tcW w:w="2642" w:type="dxa"/>
          </w:tcPr>
          <w:p w:rsidR="00F915C9" w:rsidRDefault="00F915C9" w:rsidP="005542EA">
            <w:r>
              <w:t>Galić</w:t>
            </w:r>
          </w:p>
        </w:tc>
        <w:tc>
          <w:tcPr>
            <w:tcW w:w="4692" w:type="dxa"/>
          </w:tcPr>
          <w:p w:rsidR="00F915C9" w:rsidRPr="0076362C" w:rsidRDefault="00F915C9" w:rsidP="005542EA">
            <w:pPr>
              <w:rPr>
                <w:sz w:val="20"/>
                <w:szCs w:val="20"/>
              </w:rPr>
            </w:pPr>
            <w:r w:rsidRPr="0076362C">
              <w:rPr>
                <w:sz w:val="20"/>
                <w:szCs w:val="20"/>
              </w:rPr>
              <w:t>ULOGA MAGISTRALNIH PRIPRAVAKA U OPTIMIZACIJI FARMAKOTERAPIJE</w:t>
            </w:r>
            <w:r>
              <w:rPr>
                <w:sz w:val="20"/>
                <w:szCs w:val="20"/>
              </w:rPr>
              <w:t xml:space="preserve"> /</w:t>
            </w:r>
            <w:r w:rsidRPr="001A2EBB">
              <w:rPr>
                <w:color w:val="FF0000"/>
                <w:sz w:val="20"/>
                <w:szCs w:val="20"/>
              </w:rPr>
              <w:t>LJS</w:t>
            </w:r>
          </w:p>
        </w:tc>
        <w:tc>
          <w:tcPr>
            <w:tcW w:w="1227" w:type="dxa"/>
          </w:tcPr>
          <w:p w:rsidR="00F915C9" w:rsidRDefault="00F915C9" w:rsidP="005542EA">
            <w:r>
              <w:t>Usmeno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14</w:t>
            </w:r>
          </w:p>
        </w:tc>
        <w:tc>
          <w:tcPr>
            <w:tcW w:w="2642" w:type="dxa"/>
          </w:tcPr>
          <w:p w:rsidR="00F915C9" w:rsidRDefault="00F915C9" w:rsidP="005542EA">
            <w:r>
              <w:t>Kačić, Modun</w:t>
            </w:r>
          </w:p>
        </w:tc>
        <w:tc>
          <w:tcPr>
            <w:tcW w:w="4692" w:type="dxa"/>
          </w:tcPr>
          <w:p w:rsidR="00F915C9" w:rsidRPr="0076362C" w:rsidRDefault="00F915C9" w:rsidP="005542EA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76362C">
              <w:rPr>
                <w:rFonts w:ascii="Calibri" w:eastAsia="Calibri" w:hAnsi="Calibri" w:cs="Times New Roman"/>
                <w:sz w:val="20"/>
                <w:szCs w:val="20"/>
              </w:rPr>
              <w:t>PRIMARNA PREVENCIJA KARDIOVASKULARNIH BOLESTI U LJEKARNAMA – UTVRĐIVANJE STILA ŽIVOTA I INDEKSA TJELESNE MASE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/ </w:t>
            </w:r>
            <w:r w:rsidRPr="006839F6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LJS2</w:t>
            </w: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15</w:t>
            </w:r>
          </w:p>
        </w:tc>
        <w:tc>
          <w:tcPr>
            <w:tcW w:w="2642" w:type="dxa"/>
          </w:tcPr>
          <w:p w:rsidR="00F915C9" w:rsidRDefault="00F915C9" w:rsidP="005542EA">
            <w:r>
              <w:t>Kosovec Hadviger</w:t>
            </w:r>
          </w:p>
        </w:tc>
        <w:tc>
          <w:tcPr>
            <w:tcW w:w="4692" w:type="dxa"/>
          </w:tcPr>
          <w:p w:rsidR="00F915C9" w:rsidRPr="0076362C" w:rsidRDefault="00F915C9" w:rsidP="005542EA">
            <w:pPr>
              <w:jc w:val="left"/>
              <w:rPr>
                <w:sz w:val="20"/>
                <w:szCs w:val="20"/>
              </w:rPr>
            </w:pPr>
            <w:r w:rsidRPr="005840C0">
              <w:rPr>
                <w:rFonts w:ascii="Calibri" w:eastAsia="Calibri" w:hAnsi="Calibri" w:cs="Arial"/>
                <w:sz w:val="20"/>
              </w:rPr>
              <w:t>PREGLED MEHANIZAMA ZA UNAPRIJEĐENJE SIGURNOSTI BOLESNIKA KROZ ZAKONSKE ZAHTJEVE ZA UPRAVLJANJEM FARMACEUTSKOM KVALITETOM MAGISTRALNIH/GALENSKIH PRIPRAVAKA</w:t>
            </w:r>
            <w:r>
              <w:rPr>
                <w:rFonts w:ascii="Calibri" w:eastAsia="Calibri" w:hAnsi="Calibri" w:cs="Arial"/>
                <w:sz w:val="20"/>
              </w:rPr>
              <w:t xml:space="preserve"> /</w:t>
            </w:r>
            <w:r w:rsidRPr="0055734C">
              <w:rPr>
                <w:rFonts w:ascii="Calibri" w:eastAsia="Calibri" w:hAnsi="Calibri" w:cs="Arial"/>
                <w:color w:val="FF0000"/>
                <w:sz w:val="20"/>
              </w:rPr>
              <w:t>LJS</w:t>
            </w: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16</w:t>
            </w:r>
          </w:p>
        </w:tc>
        <w:tc>
          <w:tcPr>
            <w:tcW w:w="2642" w:type="dxa"/>
          </w:tcPr>
          <w:p w:rsidR="00F915C9" w:rsidRDefault="00F915C9" w:rsidP="005542EA">
            <w:r>
              <w:t>Kukoč Modun</w:t>
            </w:r>
          </w:p>
        </w:tc>
        <w:tc>
          <w:tcPr>
            <w:tcW w:w="4692" w:type="dxa"/>
          </w:tcPr>
          <w:p w:rsidR="00F915C9" w:rsidRPr="0076362C" w:rsidRDefault="00F915C9" w:rsidP="005542EA">
            <w:pPr>
              <w:jc w:val="lef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6362C">
              <w:rPr>
                <w:rFonts w:ascii="Calibri" w:hAnsi="Calibri"/>
                <w:sz w:val="20"/>
                <w:szCs w:val="20"/>
                <w:lang w:val="en-US"/>
              </w:rPr>
              <w:t xml:space="preserve">NEW KINETIC METHOD FOR DETERMINATION OF </w:t>
            </w:r>
            <w:r w:rsidRPr="0076362C">
              <w:rPr>
                <w:rFonts w:ascii="Calibri" w:hAnsi="Calibri"/>
                <w:i/>
                <w:sz w:val="20"/>
                <w:szCs w:val="20"/>
                <w:lang w:val="en-US"/>
              </w:rPr>
              <w:t>N</w:t>
            </w:r>
            <w:r w:rsidRPr="0076362C">
              <w:rPr>
                <w:rFonts w:ascii="Calibri" w:hAnsi="Calibri"/>
                <w:sz w:val="20"/>
                <w:szCs w:val="20"/>
                <w:lang w:val="en-US"/>
              </w:rPr>
              <w:t>-ACETYL-L-CYSTEINE IN PHARMACEUTICAL FORMULATIONS</w:t>
            </w:r>
            <w:r w:rsidRPr="0076362C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76362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val="en-US"/>
              </w:rPr>
              <w:t>IR</w:t>
            </w: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17</w:t>
            </w:r>
          </w:p>
        </w:tc>
        <w:tc>
          <w:tcPr>
            <w:tcW w:w="2642" w:type="dxa"/>
          </w:tcPr>
          <w:p w:rsidR="00F915C9" w:rsidRDefault="00F915C9" w:rsidP="005542EA">
            <w:r>
              <w:t>Lalić</w:t>
            </w:r>
          </w:p>
        </w:tc>
        <w:tc>
          <w:tcPr>
            <w:tcW w:w="4692" w:type="dxa"/>
          </w:tcPr>
          <w:p w:rsidR="00F915C9" w:rsidRPr="00F02C1E" w:rsidRDefault="00F915C9" w:rsidP="005542EA">
            <w:pPr>
              <w:rPr>
                <w:caps/>
                <w:sz w:val="20"/>
                <w:szCs w:val="20"/>
              </w:rPr>
            </w:pPr>
            <w:r w:rsidRPr="00F02C1E">
              <w:rPr>
                <w:rFonts w:ascii="Calibri" w:hAnsi="Calibri"/>
                <w:caps/>
                <w:color w:val="000000"/>
                <w:sz w:val="20"/>
                <w:szCs w:val="28"/>
              </w:rPr>
              <w:t>Influence of ABCC2 genetic polymorphisms on mycophenolic acid pharmacokinetics in Croatian renal allograft recipients</w:t>
            </w:r>
            <w:r>
              <w:rPr>
                <w:rFonts w:ascii="Calibri" w:hAnsi="Calibri"/>
                <w:caps/>
                <w:color w:val="000000"/>
                <w:sz w:val="20"/>
                <w:szCs w:val="28"/>
              </w:rPr>
              <w:t xml:space="preserve"> /</w:t>
            </w:r>
            <w:r w:rsidRPr="00EF3AB6">
              <w:rPr>
                <w:rFonts w:ascii="Calibri" w:hAnsi="Calibri"/>
                <w:caps/>
                <w:color w:val="FF0000"/>
                <w:sz w:val="20"/>
                <w:szCs w:val="28"/>
              </w:rPr>
              <w:t>FKG</w:t>
            </w:r>
          </w:p>
        </w:tc>
        <w:tc>
          <w:tcPr>
            <w:tcW w:w="1227" w:type="dxa"/>
          </w:tcPr>
          <w:p w:rsidR="00F915C9" w:rsidRDefault="00F915C9" w:rsidP="005542EA">
            <w:r>
              <w:t>Usmeno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18</w:t>
            </w:r>
          </w:p>
        </w:tc>
        <w:tc>
          <w:tcPr>
            <w:tcW w:w="2642" w:type="dxa"/>
          </w:tcPr>
          <w:p w:rsidR="00F915C9" w:rsidRDefault="00F915C9" w:rsidP="005542EA">
            <w:r>
              <w:t>Ljubas Kelečić</w:t>
            </w:r>
          </w:p>
        </w:tc>
        <w:tc>
          <w:tcPr>
            <w:tcW w:w="4692" w:type="dxa"/>
          </w:tcPr>
          <w:p w:rsidR="00F915C9" w:rsidRPr="000659DA" w:rsidRDefault="00F915C9" w:rsidP="005542EA">
            <w:pPr>
              <w:jc w:val="left"/>
              <w:rPr>
                <w:bCs/>
                <w:sz w:val="20"/>
              </w:rPr>
            </w:pPr>
            <w:r w:rsidRPr="000659DA">
              <w:rPr>
                <w:bCs/>
                <w:sz w:val="20"/>
              </w:rPr>
              <w:t>ULOGA KLINIČKOG NUTRITIVNOG TIMA U LIJEČENJU BOLESNIKA SA KOMPLICIRANOM CROHNOVOM BOLESTI: PRIKAZ SLUČAJA</w:t>
            </w:r>
            <w:r>
              <w:rPr>
                <w:bCs/>
                <w:sz w:val="20"/>
              </w:rPr>
              <w:t xml:space="preserve"> /</w:t>
            </w:r>
            <w:r w:rsidRPr="00EF3AB6">
              <w:rPr>
                <w:bCs/>
                <w:color w:val="FF0000"/>
                <w:sz w:val="20"/>
              </w:rPr>
              <w:t>NUT</w:t>
            </w:r>
          </w:p>
        </w:tc>
        <w:tc>
          <w:tcPr>
            <w:tcW w:w="1227" w:type="dxa"/>
          </w:tcPr>
          <w:p w:rsidR="00F915C9" w:rsidRDefault="00F915C9" w:rsidP="005542EA">
            <w:r>
              <w:t>Usmeno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19</w:t>
            </w:r>
          </w:p>
        </w:tc>
        <w:tc>
          <w:tcPr>
            <w:tcW w:w="2642" w:type="dxa"/>
          </w:tcPr>
          <w:p w:rsidR="00F915C9" w:rsidRDefault="00F915C9" w:rsidP="005542EA">
            <w:r>
              <w:t>Ljubas Kelečić</w:t>
            </w:r>
          </w:p>
        </w:tc>
        <w:tc>
          <w:tcPr>
            <w:tcW w:w="4692" w:type="dxa"/>
          </w:tcPr>
          <w:p w:rsidR="00F915C9" w:rsidRPr="000659DA" w:rsidRDefault="00F915C9" w:rsidP="005542EA">
            <w:pPr>
              <w:jc w:val="left"/>
              <w:rPr>
                <w:bCs/>
                <w:sz w:val="20"/>
              </w:rPr>
            </w:pPr>
            <w:r w:rsidRPr="00CB1931">
              <w:rPr>
                <w:sz w:val="20"/>
              </w:rPr>
              <w:t>NUTRITIVNA POTPORA BOLESNIKA SA GVHD-om CRIJEVA NAKON TRANSPLANTACIJE KOŠTANE SRŽI</w:t>
            </w:r>
            <w:r w:rsidRPr="007B54FF">
              <w:br/>
            </w:r>
            <w:r>
              <w:rPr>
                <w:bCs/>
                <w:sz w:val="20"/>
              </w:rPr>
              <w:t>/</w:t>
            </w:r>
            <w:r w:rsidRPr="00EF3AB6">
              <w:rPr>
                <w:bCs/>
                <w:color w:val="FF0000"/>
                <w:sz w:val="20"/>
              </w:rPr>
              <w:t>NUT</w:t>
            </w: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20</w:t>
            </w:r>
          </w:p>
        </w:tc>
        <w:tc>
          <w:tcPr>
            <w:tcW w:w="2642" w:type="dxa"/>
          </w:tcPr>
          <w:p w:rsidR="00F915C9" w:rsidRDefault="00F915C9" w:rsidP="005542EA">
            <w:r>
              <w:t>Marušić, Vrca</w:t>
            </w:r>
          </w:p>
        </w:tc>
        <w:tc>
          <w:tcPr>
            <w:tcW w:w="4692" w:type="dxa"/>
          </w:tcPr>
          <w:p w:rsidR="00F915C9" w:rsidRPr="00F92809" w:rsidRDefault="00F915C9" w:rsidP="005542EA">
            <w:pPr>
              <w:jc w:val="left"/>
              <w:rPr>
                <w:rFonts w:ascii="Calibri" w:hAnsi="Calibri"/>
                <w:caps/>
                <w:sz w:val="20"/>
                <w:szCs w:val="28"/>
              </w:rPr>
            </w:pPr>
            <w:r w:rsidRPr="00B972CA">
              <w:rPr>
                <w:rFonts w:ascii="Calibri" w:hAnsi="Calibri"/>
                <w:caps/>
                <w:sz w:val="20"/>
                <w:szCs w:val="28"/>
              </w:rPr>
              <w:t xml:space="preserve">Utjecaj farmakoterapijskog savjetovanja </w:t>
            </w:r>
            <w:r w:rsidRPr="00B972CA">
              <w:rPr>
                <w:rFonts w:ascii="Calibri" w:hAnsi="Calibri"/>
                <w:caps/>
                <w:sz w:val="20"/>
                <w:szCs w:val="28"/>
              </w:rPr>
              <w:lastRenderedPageBreak/>
              <w:t>hospitaliziranih bolesnika na zadovoljstvo kvalitetom liječenja</w:t>
            </w:r>
            <w:r>
              <w:rPr>
                <w:rFonts w:ascii="Calibri" w:hAnsi="Calibri"/>
                <w:caps/>
                <w:sz w:val="20"/>
                <w:szCs w:val="28"/>
              </w:rPr>
              <w:t xml:space="preserve"> /</w:t>
            </w:r>
            <w:r w:rsidRPr="00700951">
              <w:rPr>
                <w:rFonts w:ascii="Calibri" w:hAnsi="Calibri"/>
                <w:caps/>
                <w:color w:val="FF0000"/>
                <w:sz w:val="20"/>
                <w:szCs w:val="28"/>
              </w:rPr>
              <w:t>FT</w:t>
            </w:r>
          </w:p>
        </w:tc>
        <w:tc>
          <w:tcPr>
            <w:tcW w:w="1227" w:type="dxa"/>
          </w:tcPr>
          <w:p w:rsidR="00F915C9" w:rsidRDefault="00F915C9" w:rsidP="005542EA">
            <w:r>
              <w:lastRenderedPageBreak/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lastRenderedPageBreak/>
              <w:t>21</w:t>
            </w:r>
          </w:p>
        </w:tc>
        <w:tc>
          <w:tcPr>
            <w:tcW w:w="2642" w:type="dxa"/>
          </w:tcPr>
          <w:p w:rsidR="00F915C9" w:rsidRDefault="00F915C9" w:rsidP="005542EA">
            <w:r>
              <w:t>Modun, Meštrović, Klinar</w:t>
            </w:r>
          </w:p>
        </w:tc>
        <w:tc>
          <w:tcPr>
            <w:tcW w:w="4692" w:type="dxa"/>
          </w:tcPr>
          <w:p w:rsidR="00F915C9" w:rsidRPr="00F92809" w:rsidRDefault="00F915C9" w:rsidP="005542EA">
            <w:pPr>
              <w:jc w:val="left"/>
              <w:rPr>
                <w:rFonts w:ascii="Calibri" w:hAnsi="Calibri"/>
                <w:sz w:val="20"/>
                <w:szCs w:val="28"/>
              </w:rPr>
            </w:pPr>
            <w:r w:rsidRPr="00F92809">
              <w:rPr>
                <w:rFonts w:ascii="Calibri" w:eastAsia="Calibri" w:hAnsi="Calibri" w:cs="Times New Roman"/>
                <w:sz w:val="20"/>
                <w:szCs w:val="28"/>
              </w:rPr>
              <w:t>SURADNJA LIJEČNIKA OBITELJSKE MEDICINE I LJEKARNIKA U PODRUČJU RACIONALNE FARMAKOTERAPIJE – STAV ZDRAVSTVENIH DJELATNIKA U HRVATSKOJ</w:t>
            </w:r>
            <w:r>
              <w:rPr>
                <w:rFonts w:ascii="Calibri" w:eastAsia="Calibri" w:hAnsi="Calibri" w:cs="Times New Roman"/>
                <w:sz w:val="20"/>
                <w:szCs w:val="28"/>
              </w:rPr>
              <w:t xml:space="preserve"> /</w:t>
            </w:r>
            <w:r w:rsidRPr="00A27AAA">
              <w:rPr>
                <w:rFonts w:ascii="Calibri" w:eastAsia="Calibri" w:hAnsi="Calibri" w:cs="Times New Roman"/>
                <w:color w:val="FF0000"/>
                <w:sz w:val="20"/>
                <w:szCs w:val="28"/>
              </w:rPr>
              <w:t>LJS</w:t>
            </w: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22</w:t>
            </w:r>
          </w:p>
        </w:tc>
        <w:tc>
          <w:tcPr>
            <w:tcW w:w="2642" w:type="dxa"/>
          </w:tcPr>
          <w:p w:rsidR="00F915C9" w:rsidRDefault="00F915C9" w:rsidP="005542EA">
            <w:r>
              <w:t>Ortner</w:t>
            </w:r>
          </w:p>
        </w:tc>
        <w:tc>
          <w:tcPr>
            <w:tcW w:w="4692" w:type="dxa"/>
          </w:tcPr>
          <w:p w:rsidR="00F915C9" w:rsidRPr="0076362C" w:rsidRDefault="00F915C9" w:rsidP="005542EA">
            <w:pPr>
              <w:jc w:val="left"/>
              <w:rPr>
                <w:sz w:val="20"/>
                <w:szCs w:val="20"/>
              </w:rPr>
            </w:pPr>
            <w:r w:rsidRPr="00075729">
              <w:rPr>
                <w:rFonts w:ascii="Calibri" w:eastAsia="Calibri" w:hAnsi="Calibri" w:cs="Arial"/>
                <w:bCs/>
                <w:sz w:val="20"/>
              </w:rPr>
              <w:t xml:space="preserve">UTJECAJ PROGRAMA MRŠAVLJENJA </w:t>
            </w:r>
            <w:r w:rsidRPr="00075729">
              <w:rPr>
                <w:rFonts w:ascii="Calibri" w:eastAsia="Calibri" w:hAnsi="Calibri" w:cs="Arial"/>
                <w:sz w:val="20"/>
              </w:rPr>
              <w:t>NA PARAMETRE OKSIDACIJSKOG STRESA KOD PRETILIH PACIJENATA</w:t>
            </w:r>
            <w:r>
              <w:rPr>
                <w:rFonts w:ascii="Calibri" w:eastAsia="Calibri" w:hAnsi="Calibri" w:cs="Arial"/>
                <w:sz w:val="20"/>
              </w:rPr>
              <w:t xml:space="preserve"> /</w:t>
            </w:r>
            <w:r w:rsidRPr="00E70DEF">
              <w:rPr>
                <w:rFonts w:ascii="Calibri" w:eastAsia="Calibri" w:hAnsi="Calibri" w:cs="Arial"/>
                <w:color w:val="FF0000"/>
                <w:sz w:val="20"/>
              </w:rPr>
              <w:t>FEP</w:t>
            </w:r>
            <w:r>
              <w:rPr>
                <w:rFonts w:ascii="Calibri" w:eastAsia="Calibri" w:hAnsi="Calibri" w:cs="Arial"/>
                <w:color w:val="FF0000"/>
                <w:sz w:val="20"/>
              </w:rPr>
              <w:t xml:space="preserve"> </w:t>
            </w: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Pr="005E62FC" w:rsidRDefault="00F915C9" w:rsidP="005542EA">
            <w:r w:rsidRPr="005E62FC">
              <w:t>23</w:t>
            </w:r>
          </w:p>
        </w:tc>
        <w:tc>
          <w:tcPr>
            <w:tcW w:w="2642" w:type="dxa"/>
          </w:tcPr>
          <w:p w:rsidR="00F915C9" w:rsidRPr="005E62FC" w:rsidRDefault="00F915C9" w:rsidP="005542EA">
            <w:pPr>
              <w:pStyle w:val="Heading1"/>
              <w:spacing w:before="0" w:after="0"/>
              <w:outlineLvl w:val="0"/>
              <w:rPr>
                <w:sz w:val="22"/>
              </w:rPr>
            </w:pPr>
            <w:r w:rsidRPr="005E62FC">
              <w:rPr>
                <w:rStyle w:val="Strong"/>
                <w:rFonts w:ascii="Calibri" w:hAnsi="Calibri"/>
                <w:sz w:val="22"/>
                <w:szCs w:val="24"/>
                <w:u w:val="single"/>
                <w:lang w:val="en-US"/>
              </w:rPr>
              <w:t>Lana Pejnović</w:t>
            </w:r>
            <w:r w:rsidRPr="005E62FC">
              <w:rPr>
                <w:rStyle w:val="Strong"/>
                <w:rFonts w:ascii="Calibri" w:hAnsi="Calibri"/>
                <w:sz w:val="22"/>
                <w:szCs w:val="24"/>
                <w:u w:val="single"/>
                <w:vertAlign w:val="superscript"/>
                <w:lang w:val="en-US"/>
              </w:rPr>
              <w:t>1</w:t>
            </w:r>
            <w:r w:rsidRPr="005E62FC">
              <w:rPr>
                <w:rStyle w:val="Strong"/>
                <w:rFonts w:ascii="Calibri" w:hAnsi="Calibri"/>
                <w:sz w:val="22"/>
                <w:szCs w:val="24"/>
                <w:lang w:val="en-US"/>
              </w:rPr>
              <w:t>, Nada B</w:t>
            </w:r>
            <w:r w:rsidRPr="005E62FC">
              <w:rPr>
                <w:rFonts w:ascii="Calibri" w:hAnsi="Calibri"/>
                <w:b w:val="0"/>
                <w:bCs w:val="0"/>
                <w:sz w:val="22"/>
                <w:szCs w:val="24"/>
                <w:lang w:val="en-US"/>
              </w:rPr>
              <w:t>ožina</w:t>
            </w:r>
            <w:r w:rsidRPr="005E62FC">
              <w:rPr>
                <w:rStyle w:val="Strong"/>
                <w:rFonts w:ascii="Calibri" w:hAnsi="Calibri"/>
                <w:sz w:val="22"/>
                <w:szCs w:val="24"/>
                <w:vertAlign w:val="superscript"/>
                <w:lang w:val="en-US"/>
              </w:rPr>
              <w:t>1</w:t>
            </w:r>
            <w:r w:rsidRPr="005E62FC">
              <w:rPr>
                <w:rFonts w:ascii="Calibri" w:hAnsi="Calibri"/>
                <w:b w:val="0"/>
                <w:bCs w:val="0"/>
                <w:sz w:val="22"/>
                <w:szCs w:val="24"/>
                <w:lang w:val="en-US"/>
              </w:rPr>
              <w:t>, Mila Lovrić</w:t>
            </w:r>
            <w:r w:rsidRPr="005E62FC">
              <w:rPr>
                <w:rStyle w:val="Strong"/>
                <w:rFonts w:ascii="Calibri" w:hAnsi="Calibri"/>
                <w:sz w:val="22"/>
                <w:szCs w:val="24"/>
                <w:vertAlign w:val="superscript"/>
                <w:lang w:val="en-US"/>
              </w:rPr>
              <w:t>1</w:t>
            </w:r>
            <w:r w:rsidRPr="005E62FC">
              <w:rPr>
                <w:rFonts w:ascii="Calibri" w:hAnsi="Calibri"/>
                <w:b w:val="0"/>
                <w:bCs w:val="0"/>
                <w:sz w:val="22"/>
                <w:szCs w:val="24"/>
                <w:lang w:val="en-US"/>
              </w:rPr>
              <w:t>, Maja Živković</w:t>
            </w:r>
            <w:r w:rsidRPr="005E62FC">
              <w:rPr>
                <w:rFonts w:ascii="Calibri" w:hAnsi="Calibri"/>
                <w:b w:val="0"/>
                <w:bCs w:val="0"/>
                <w:sz w:val="22"/>
                <w:szCs w:val="24"/>
                <w:vertAlign w:val="superscript"/>
                <w:lang w:val="en-US"/>
              </w:rPr>
              <w:t>2</w:t>
            </w:r>
            <w:r w:rsidRPr="005E62FC">
              <w:rPr>
                <w:rFonts w:ascii="Calibri" w:hAnsi="Calibri"/>
                <w:b w:val="0"/>
                <w:bCs w:val="0"/>
                <w:sz w:val="22"/>
                <w:szCs w:val="24"/>
                <w:lang w:val="en-US"/>
              </w:rPr>
              <w:t>, Iva Klarica</w:t>
            </w:r>
            <w:r w:rsidRPr="005E62FC">
              <w:rPr>
                <w:rFonts w:ascii="Calibri" w:hAnsi="Calibri"/>
                <w:b w:val="0"/>
                <w:bCs w:val="0"/>
                <w:sz w:val="22"/>
                <w:szCs w:val="24"/>
                <w:vertAlign w:val="superscript"/>
                <w:lang w:val="en-US"/>
              </w:rPr>
              <w:t>3</w:t>
            </w:r>
            <w:r w:rsidRPr="005E62FC">
              <w:rPr>
                <w:rFonts w:ascii="Calibri" w:hAnsi="Calibri"/>
                <w:b w:val="0"/>
                <w:bCs w:val="0"/>
                <w:sz w:val="22"/>
                <w:szCs w:val="24"/>
                <w:lang w:val="en-US"/>
              </w:rPr>
              <w:t>, Alma Mihaljević-Peleš</w:t>
            </w:r>
            <w:r w:rsidRPr="005E62FC">
              <w:rPr>
                <w:rStyle w:val="Strong"/>
                <w:rFonts w:ascii="Calibri" w:hAnsi="Calibri"/>
                <w:sz w:val="22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692" w:type="dxa"/>
          </w:tcPr>
          <w:p w:rsidR="00F915C9" w:rsidRPr="005E62FC" w:rsidRDefault="00F915C9" w:rsidP="005542EA">
            <w:pPr>
              <w:pStyle w:val="Heading1"/>
              <w:spacing w:before="0" w:after="0"/>
              <w:outlineLvl w:val="0"/>
              <w:rPr>
                <w:sz w:val="36"/>
              </w:rPr>
            </w:pPr>
            <w:r w:rsidRPr="005E62FC">
              <w:rPr>
                <w:rStyle w:val="Strong"/>
                <w:rFonts w:ascii="Calibri" w:hAnsi="Calibri"/>
                <w:sz w:val="20"/>
                <w:szCs w:val="28"/>
                <w:lang w:val="en-US"/>
              </w:rPr>
              <w:t xml:space="preserve">INFLUENCE OF </w:t>
            </w:r>
            <w:r w:rsidRPr="005E62FC">
              <w:rPr>
                <w:rStyle w:val="Strong"/>
                <w:rFonts w:ascii="Calibri" w:hAnsi="Calibri"/>
                <w:i/>
                <w:iCs/>
                <w:sz w:val="20"/>
                <w:szCs w:val="28"/>
                <w:lang w:val="en-US"/>
              </w:rPr>
              <w:t>CYP2D6</w:t>
            </w:r>
            <w:r w:rsidRPr="005E62FC">
              <w:rPr>
                <w:rStyle w:val="Strong"/>
                <w:rFonts w:ascii="Calibri" w:hAnsi="Calibri"/>
                <w:sz w:val="20"/>
                <w:szCs w:val="28"/>
                <w:lang w:val="en-US"/>
              </w:rPr>
              <w:t xml:space="preserve"> AND </w:t>
            </w:r>
            <w:r w:rsidRPr="005E62FC">
              <w:rPr>
                <w:rStyle w:val="Strong"/>
                <w:rFonts w:ascii="Calibri" w:hAnsi="Calibri"/>
                <w:i/>
                <w:iCs/>
                <w:sz w:val="20"/>
                <w:szCs w:val="28"/>
                <w:lang w:val="en-US"/>
              </w:rPr>
              <w:t>ABCB1</w:t>
            </w:r>
            <w:r w:rsidRPr="005E62FC">
              <w:rPr>
                <w:rStyle w:val="Strong"/>
                <w:rFonts w:ascii="Calibri" w:hAnsi="Calibri"/>
                <w:sz w:val="20"/>
                <w:szCs w:val="28"/>
                <w:lang w:val="en-US"/>
              </w:rPr>
              <w:t xml:space="preserve"> POLIMORPHISMS ON THE SERUM STEADY-STATE CONCENTRATIONS OF RISPERIDONE AND 9-OH RISPERIDONE IN PATIENTS USING LONG-ACTING INJECTABLE RISPERIDONE/</w:t>
            </w:r>
            <w:r w:rsidRPr="005E62FC">
              <w:rPr>
                <w:rStyle w:val="Strong"/>
                <w:rFonts w:ascii="Calibri" w:hAnsi="Calibri"/>
                <w:color w:val="FF0000"/>
                <w:sz w:val="20"/>
                <w:szCs w:val="28"/>
                <w:lang w:val="en-US"/>
              </w:rPr>
              <w:t>FKG</w:t>
            </w:r>
          </w:p>
        </w:tc>
        <w:tc>
          <w:tcPr>
            <w:tcW w:w="1227" w:type="dxa"/>
          </w:tcPr>
          <w:p w:rsidR="00F915C9" w:rsidRPr="00F915C9" w:rsidRDefault="00F915C9" w:rsidP="005542EA">
            <w:pPr>
              <w:rPr>
                <w:highlight w:val="lightGray"/>
              </w:rPr>
            </w:pPr>
          </w:p>
        </w:tc>
      </w:tr>
      <w:tr w:rsidR="00F915C9" w:rsidTr="00F915C9">
        <w:trPr>
          <w:trHeight w:val="911"/>
        </w:trPr>
        <w:tc>
          <w:tcPr>
            <w:tcW w:w="727" w:type="dxa"/>
          </w:tcPr>
          <w:p w:rsidR="00F915C9" w:rsidRDefault="00F915C9" w:rsidP="005542EA">
            <w:r>
              <w:t>24</w:t>
            </w:r>
          </w:p>
        </w:tc>
        <w:tc>
          <w:tcPr>
            <w:tcW w:w="2642" w:type="dxa"/>
          </w:tcPr>
          <w:p w:rsidR="00F915C9" w:rsidRDefault="00F915C9" w:rsidP="005542EA">
            <w:r>
              <w:t>Raguž</w:t>
            </w:r>
          </w:p>
        </w:tc>
        <w:tc>
          <w:tcPr>
            <w:tcW w:w="4692" w:type="dxa"/>
          </w:tcPr>
          <w:p w:rsidR="00F915C9" w:rsidRPr="00731361" w:rsidRDefault="00F915C9" w:rsidP="005542EA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/>
                <w:b w:val="0"/>
                <w:sz w:val="20"/>
                <w:szCs w:val="28"/>
              </w:rPr>
            </w:pPr>
            <w:r w:rsidRPr="00731361">
              <w:rPr>
                <w:rStyle w:val="hps"/>
                <w:rFonts w:asciiTheme="minorHAnsi" w:hAnsiTheme="minorHAnsi"/>
                <w:b w:val="0"/>
                <w:sz w:val="20"/>
                <w:szCs w:val="28"/>
              </w:rPr>
              <w:t>IMPACT</w:t>
            </w:r>
            <w:r w:rsidRPr="00731361">
              <w:rPr>
                <w:rFonts w:asciiTheme="minorHAnsi" w:hAnsiTheme="minorHAnsi"/>
                <w:b w:val="0"/>
                <w:sz w:val="20"/>
                <w:szCs w:val="28"/>
              </w:rPr>
              <w:t xml:space="preserve">  OF PSYCHOACTIVE DRUGS ON PROLONGATION</w:t>
            </w:r>
            <w:r>
              <w:rPr>
                <w:rFonts w:asciiTheme="minorHAnsi" w:hAnsiTheme="minorHAnsi"/>
                <w:b w:val="0"/>
                <w:sz w:val="20"/>
                <w:szCs w:val="28"/>
              </w:rPr>
              <w:t xml:space="preserve"> </w:t>
            </w:r>
            <w:r w:rsidRPr="00731361">
              <w:rPr>
                <w:rFonts w:asciiTheme="minorHAnsi" w:hAnsiTheme="minorHAnsi"/>
                <w:b w:val="0"/>
                <w:sz w:val="20"/>
                <w:szCs w:val="28"/>
              </w:rPr>
              <w:t>OF QTc INTERVAL: COMPARISON OF MONOTHERAPY VERSUS POLYTHERAPY</w:t>
            </w:r>
            <w:r>
              <w:rPr>
                <w:rFonts w:asciiTheme="minorHAnsi" w:hAnsiTheme="minorHAnsi"/>
                <w:b w:val="0"/>
                <w:sz w:val="20"/>
                <w:szCs w:val="28"/>
              </w:rPr>
              <w:t xml:space="preserve"> /</w:t>
            </w:r>
            <w:r w:rsidRPr="008B4D77">
              <w:rPr>
                <w:rFonts w:asciiTheme="minorHAnsi" w:hAnsiTheme="minorHAnsi"/>
                <w:b w:val="0"/>
                <w:color w:val="FF0000"/>
                <w:sz w:val="20"/>
                <w:szCs w:val="28"/>
              </w:rPr>
              <w:t>FT</w:t>
            </w: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25</w:t>
            </w:r>
          </w:p>
        </w:tc>
        <w:tc>
          <w:tcPr>
            <w:tcW w:w="2642" w:type="dxa"/>
          </w:tcPr>
          <w:p w:rsidR="00F915C9" w:rsidRDefault="00F915C9" w:rsidP="005542EA">
            <w:r>
              <w:t>Rako</w:t>
            </w:r>
          </w:p>
        </w:tc>
        <w:tc>
          <w:tcPr>
            <w:tcW w:w="4692" w:type="dxa"/>
          </w:tcPr>
          <w:p w:rsidR="00F915C9" w:rsidRPr="00B817DA" w:rsidRDefault="00F915C9" w:rsidP="005542EA">
            <w:pPr>
              <w:jc w:val="left"/>
              <w:rPr>
                <w:rFonts w:ascii="Calibri" w:hAnsi="Calibri"/>
                <w:bCs/>
                <w:caps/>
                <w:kern w:val="28"/>
                <w:sz w:val="20"/>
                <w:szCs w:val="28"/>
              </w:rPr>
            </w:pPr>
            <w:r w:rsidRPr="00B817DA">
              <w:rPr>
                <w:rFonts w:ascii="Calibri" w:hAnsi="Calibri"/>
                <w:bCs/>
                <w:caps/>
                <w:kern w:val="28"/>
                <w:sz w:val="20"/>
                <w:szCs w:val="28"/>
              </w:rPr>
              <w:t>Utjecaj smjernica za antimikrobnu profilaksu i terapiju na smanjenje troška za antimikrobne lijekove na Odjelu za urologiju Kliničke bolnice Dubrava</w:t>
            </w:r>
            <w:r>
              <w:rPr>
                <w:rFonts w:ascii="Calibri" w:hAnsi="Calibri"/>
                <w:bCs/>
                <w:caps/>
                <w:kern w:val="28"/>
                <w:sz w:val="20"/>
                <w:szCs w:val="28"/>
              </w:rPr>
              <w:t xml:space="preserve"> /</w:t>
            </w:r>
            <w:r w:rsidRPr="00BF29E0">
              <w:rPr>
                <w:rFonts w:ascii="Calibri" w:hAnsi="Calibri"/>
                <w:bCs/>
                <w:caps/>
                <w:color w:val="FF0000"/>
                <w:kern w:val="28"/>
                <w:sz w:val="20"/>
                <w:szCs w:val="28"/>
              </w:rPr>
              <w:t>F</w:t>
            </w:r>
            <w:r>
              <w:rPr>
                <w:rFonts w:ascii="Calibri" w:hAnsi="Calibri"/>
                <w:bCs/>
                <w:caps/>
                <w:color w:val="FF0000"/>
                <w:kern w:val="28"/>
                <w:sz w:val="20"/>
                <w:szCs w:val="28"/>
              </w:rPr>
              <w:t>E</w:t>
            </w: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26</w:t>
            </w:r>
          </w:p>
        </w:tc>
        <w:tc>
          <w:tcPr>
            <w:tcW w:w="2642" w:type="dxa"/>
          </w:tcPr>
          <w:p w:rsidR="00F915C9" w:rsidRDefault="00F915C9" w:rsidP="005542EA">
            <w:r>
              <w:t>Safić, Marinović, Ćorić</w:t>
            </w:r>
          </w:p>
        </w:tc>
        <w:tc>
          <w:tcPr>
            <w:tcW w:w="4692" w:type="dxa"/>
          </w:tcPr>
          <w:p w:rsidR="00F915C9" w:rsidRPr="006A4222" w:rsidRDefault="00F915C9" w:rsidP="005542EA">
            <w:pPr>
              <w:jc w:val="left"/>
              <w:rPr>
                <w:rFonts w:ascii="Calibri" w:hAnsi="Calibri"/>
                <w:sz w:val="20"/>
                <w:szCs w:val="28"/>
              </w:rPr>
            </w:pPr>
            <w:r w:rsidRPr="006A4222">
              <w:rPr>
                <w:rFonts w:ascii="Calibri" w:hAnsi="Calibri"/>
                <w:sz w:val="20"/>
                <w:szCs w:val="28"/>
              </w:rPr>
              <w:t>CENTRALNA PONTINA MIJELINOLIZA KAO POSLJEDICA NEPRIKLADNOG DAVANJA HIPERTONIČNE OTOPINE NATRIJEVOG KLORIDA</w:t>
            </w:r>
            <w:r>
              <w:rPr>
                <w:rFonts w:ascii="Calibri" w:hAnsi="Calibri"/>
                <w:sz w:val="20"/>
                <w:szCs w:val="28"/>
              </w:rPr>
              <w:t>: PREGLED LITERATURE /</w:t>
            </w:r>
            <w:r>
              <w:rPr>
                <w:rFonts w:ascii="Calibri" w:hAnsi="Calibri"/>
                <w:color w:val="FF0000"/>
                <w:sz w:val="20"/>
                <w:szCs w:val="28"/>
              </w:rPr>
              <w:t xml:space="preserve"> </w:t>
            </w:r>
            <w:r w:rsidRPr="00F915C9">
              <w:rPr>
                <w:rFonts w:ascii="Calibri" w:hAnsi="Calibri"/>
                <w:color w:val="FF0000"/>
                <w:sz w:val="20"/>
                <w:szCs w:val="28"/>
                <w:highlight w:val="lightGray"/>
              </w:rPr>
              <w:t>NUT/IV</w:t>
            </w:r>
          </w:p>
        </w:tc>
        <w:tc>
          <w:tcPr>
            <w:tcW w:w="1227" w:type="dxa"/>
          </w:tcPr>
          <w:p w:rsidR="00F915C9" w:rsidRDefault="00F915C9" w:rsidP="005542EA"/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27</w:t>
            </w:r>
          </w:p>
        </w:tc>
        <w:tc>
          <w:tcPr>
            <w:tcW w:w="2642" w:type="dxa"/>
          </w:tcPr>
          <w:p w:rsidR="00F915C9" w:rsidRDefault="00F915C9" w:rsidP="005542EA">
            <w:r>
              <w:t>Samardžić, Vrca</w:t>
            </w:r>
          </w:p>
        </w:tc>
        <w:tc>
          <w:tcPr>
            <w:tcW w:w="4692" w:type="dxa"/>
          </w:tcPr>
          <w:p w:rsidR="00F915C9" w:rsidRPr="003E69A1" w:rsidRDefault="00F915C9" w:rsidP="005542EA">
            <w:pPr>
              <w:jc w:val="left"/>
              <w:rPr>
                <w:bCs/>
                <w:sz w:val="20"/>
                <w:szCs w:val="20"/>
              </w:rPr>
            </w:pPr>
            <w:r w:rsidRPr="0076362C">
              <w:rPr>
                <w:bCs/>
                <w:sz w:val="20"/>
                <w:szCs w:val="20"/>
              </w:rPr>
              <w:t>POTENCIJALNE KLINIČKI ZNAČAJNE INTERAKCIJE     ANTIDIJABETIKA</w:t>
            </w:r>
            <w:r>
              <w:rPr>
                <w:bCs/>
                <w:sz w:val="20"/>
                <w:szCs w:val="20"/>
              </w:rPr>
              <w:t xml:space="preserve"> /</w:t>
            </w:r>
            <w:r>
              <w:rPr>
                <w:color w:val="FF0000"/>
                <w:sz w:val="20"/>
                <w:szCs w:val="28"/>
              </w:rPr>
              <w:t xml:space="preserve"> </w:t>
            </w:r>
            <w:r w:rsidRPr="00F915C9">
              <w:rPr>
                <w:color w:val="FF0000"/>
                <w:sz w:val="20"/>
                <w:szCs w:val="28"/>
                <w:highlight w:val="lightGray"/>
              </w:rPr>
              <w:t>FEP</w:t>
            </w:r>
          </w:p>
        </w:tc>
        <w:tc>
          <w:tcPr>
            <w:tcW w:w="1227" w:type="dxa"/>
          </w:tcPr>
          <w:p w:rsidR="00F915C9" w:rsidRDefault="00F915C9" w:rsidP="005542EA">
            <w:r>
              <w:t>Usmeno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28</w:t>
            </w:r>
          </w:p>
        </w:tc>
        <w:tc>
          <w:tcPr>
            <w:tcW w:w="2642" w:type="dxa"/>
          </w:tcPr>
          <w:p w:rsidR="00F915C9" w:rsidRDefault="00F915C9" w:rsidP="005542EA">
            <w:r>
              <w:t>Šešelja Perišin, Modun</w:t>
            </w:r>
          </w:p>
        </w:tc>
        <w:tc>
          <w:tcPr>
            <w:tcW w:w="4692" w:type="dxa"/>
          </w:tcPr>
          <w:p w:rsidR="00F915C9" w:rsidRPr="003E69A1" w:rsidRDefault="00F915C9" w:rsidP="005542EA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362C">
              <w:rPr>
                <w:rFonts w:ascii="Calibri" w:eastAsia="Calibri" w:hAnsi="Calibri" w:cs="Times New Roman"/>
                <w:sz w:val="20"/>
                <w:szCs w:val="20"/>
              </w:rPr>
              <w:t>PRIMARNA PREVENCIJA KARDIOVASKULARNIH BOLESTI U LJEKARNAMA – UTVRĐIVANJE KARDIOVASKULARNOG RIZIKA I ARTERIJSKE ELASTIČNOSTI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/</w:t>
            </w:r>
            <w:r>
              <w:rPr>
                <w:color w:val="FF0000"/>
                <w:sz w:val="20"/>
                <w:szCs w:val="28"/>
              </w:rPr>
              <w:t xml:space="preserve"> </w:t>
            </w:r>
            <w:r w:rsidRPr="00F915C9">
              <w:rPr>
                <w:color w:val="FF0000"/>
                <w:sz w:val="20"/>
                <w:szCs w:val="28"/>
                <w:highlight w:val="lightGray"/>
              </w:rPr>
              <w:t>LJS 2</w:t>
            </w: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29</w:t>
            </w:r>
          </w:p>
        </w:tc>
        <w:tc>
          <w:tcPr>
            <w:tcW w:w="2642" w:type="dxa"/>
          </w:tcPr>
          <w:p w:rsidR="00F915C9" w:rsidRPr="00EC5223" w:rsidRDefault="00F915C9" w:rsidP="005542EA">
            <w:pPr>
              <w:autoSpaceDE w:val="0"/>
              <w:autoSpaceDN w:val="0"/>
              <w:adjustRightInd w:val="0"/>
              <w:ind w:left="540" w:hanging="540"/>
              <w:rPr>
                <w:rFonts w:ascii="Calibri" w:hAnsi="Calibri"/>
                <w:color w:val="000000" w:themeColor="text1"/>
                <w:lang w:val="en-US"/>
              </w:rPr>
            </w:pPr>
            <w:r w:rsidRPr="00EC5223">
              <w:rPr>
                <w:rFonts w:ascii="Calibri" w:hAnsi="Calibri"/>
                <w:color w:val="000000" w:themeColor="text1"/>
                <w:lang w:val="en-US"/>
              </w:rPr>
              <w:t>Slaveska Raichki, Nicha, Zisovska</w:t>
            </w:r>
          </w:p>
          <w:p w:rsidR="00F915C9" w:rsidRPr="00EC5223" w:rsidRDefault="00F915C9" w:rsidP="005542EA"/>
        </w:tc>
        <w:tc>
          <w:tcPr>
            <w:tcW w:w="4692" w:type="dxa"/>
          </w:tcPr>
          <w:p w:rsidR="00F915C9" w:rsidRPr="00627BCE" w:rsidRDefault="00F915C9" w:rsidP="005542EA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000000"/>
                <w:sz w:val="20"/>
                <w:szCs w:val="28"/>
                <w:lang w:val="en-US"/>
              </w:rPr>
            </w:pPr>
            <w:r w:rsidRPr="00627BCE">
              <w:rPr>
                <w:rFonts w:ascii="Calibri" w:hAnsi="Calibri"/>
                <w:color w:val="000000"/>
                <w:sz w:val="20"/>
                <w:szCs w:val="28"/>
                <w:lang w:val="en-US"/>
              </w:rPr>
              <w:t>HOW TO SUPPORT THE QUALITY USE OF OFF LABEL MEDCINES IN PAEDIATRIC PATIENTS</w:t>
            </w:r>
            <w:r>
              <w:rPr>
                <w:rFonts w:ascii="Calibri" w:hAnsi="Calibri"/>
                <w:color w:val="000000"/>
                <w:sz w:val="20"/>
                <w:szCs w:val="28"/>
                <w:lang w:val="en-US"/>
              </w:rPr>
              <w:t xml:space="preserve"> /</w:t>
            </w:r>
            <w:r>
              <w:rPr>
                <w:rFonts w:ascii="Calibri" w:hAnsi="Calibri"/>
                <w:color w:val="FF0000"/>
                <w:sz w:val="20"/>
                <w:szCs w:val="28"/>
                <w:lang w:val="en-US"/>
              </w:rPr>
              <w:t>FT</w:t>
            </w:r>
          </w:p>
          <w:p w:rsidR="00F915C9" w:rsidRPr="0076362C" w:rsidRDefault="00F915C9" w:rsidP="005542EA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30</w:t>
            </w:r>
          </w:p>
        </w:tc>
        <w:tc>
          <w:tcPr>
            <w:tcW w:w="2642" w:type="dxa"/>
          </w:tcPr>
          <w:p w:rsidR="00F915C9" w:rsidRDefault="00F915C9" w:rsidP="005542EA">
            <w:r>
              <w:t>Smontara, Vrca</w:t>
            </w:r>
          </w:p>
        </w:tc>
        <w:tc>
          <w:tcPr>
            <w:tcW w:w="4692" w:type="dxa"/>
          </w:tcPr>
          <w:p w:rsidR="00F915C9" w:rsidRPr="003E69A1" w:rsidRDefault="00F915C9" w:rsidP="005542EA">
            <w:pPr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362C">
              <w:rPr>
                <w:rFonts w:ascii="Calibri" w:eastAsia="Calibri" w:hAnsi="Calibri" w:cs="Times New Roman"/>
                <w:sz w:val="20"/>
                <w:szCs w:val="20"/>
              </w:rPr>
              <w:t>POJAVNOST INTERAKCIJA LIJEKOVA U PACIJENATA NA TERAPIJI VARFARINOM U DOBI DO 65 GODINA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/</w:t>
            </w:r>
            <w:r>
              <w:rPr>
                <w:color w:val="FF0000"/>
                <w:sz w:val="20"/>
                <w:szCs w:val="28"/>
              </w:rPr>
              <w:t xml:space="preserve">  </w:t>
            </w:r>
            <w:r w:rsidRPr="00F915C9">
              <w:rPr>
                <w:color w:val="FF0000"/>
                <w:sz w:val="20"/>
                <w:szCs w:val="28"/>
                <w:highlight w:val="lightGray"/>
              </w:rPr>
              <w:t>FEP</w:t>
            </w:r>
          </w:p>
        </w:tc>
        <w:tc>
          <w:tcPr>
            <w:tcW w:w="1227" w:type="dxa"/>
          </w:tcPr>
          <w:p w:rsidR="00F915C9" w:rsidRDefault="00F915C9" w:rsidP="005542EA">
            <w:r>
              <w:t>Usmeno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31?</w:t>
            </w:r>
          </w:p>
        </w:tc>
        <w:tc>
          <w:tcPr>
            <w:tcW w:w="2642" w:type="dxa"/>
          </w:tcPr>
          <w:p w:rsidR="00F915C9" w:rsidRDefault="00F915C9" w:rsidP="005542EA">
            <w:r>
              <w:t xml:space="preserve">Smontara </w:t>
            </w:r>
          </w:p>
        </w:tc>
        <w:tc>
          <w:tcPr>
            <w:tcW w:w="4692" w:type="dxa"/>
          </w:tcPr>
          <w:p w:rsidR="00F915C9" w:rsidRPr="00AA5605" w:rsidRDefault="00F915C9" w:rsidP="005542EA">
            <w:pPr>
              <w:jc w:val="left"/>
              <w:rPr>
                <w:sz w:val="20"/>
                <w:szCs w:val="28"/>
              </w:rPr>
            </w:pPr>
            <w:r w:rsidRPr="00AA5605">
              <w:rPr>
                <w:sz w:val="20"/>
                <w:szCs w:val="28"/>
              </w:rPr>
              <w:t>USPJEŠNOST POSTIZANJA CILJNE VRIJEDNOSTI INR U PACIJENATA NA ANTIKOAGULANTNOJ TERAPIJI MLAĐIH OD 65 GODINA</w:t>
            </w:r>
            <w:r>
              <w:rPr>
                <w:sz w:val="20"/>
                <w:szCs w:val="28"/>
              </w:rPr>
              <w:t>/</w:t>
            </w:r>
            <w:r w:rsidRPr="00F915C9">
              <w:rPr>
                <w:color w:val="FF0000"/>
                <w:sz w:val="20"/>
                <w:szCs w:val="28"/>
                <w:highlight w:val="lightGray"/>
              </w:rPr>
              <w:t>LJS 1</w:t>
            </w:r>
          </w:p>
        </w:tc>
        <w:tc>
          <w:tcPr>
            <w:tcW w:w="1227" w:type="dxa"/>
          </w:tcPr>
          <w:p w:rsidR="00F915C9" w:rsidRDefault="00F915C9" w:rsidP="005542EA"/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32</w:t>
            </w:r>
          </w:p>
        </w:tc>
        <w:tc>
          <w:tcPr>
            <w:tcW w:w="2642" w:type="dxa"/>
          </w:tcPr>
          <w:p w:rsidR="00F915C9" w:rsidRDefault="00F915C9" w:rsidP="005542EA">
            <w:r>
              <w:t>Šangarelo</w:t>
            </w:r>
          </w:p>
        </w:tc>
        <w:tc>
          <w:tcPr>
            <w:tcW w:w="4692" w:type="dxa"/>
          </w:tcPr>
          <w:p w:rsidR="00F915C9" w:rsidRPr="00614C1C" w:rsidRDefault="00F915C9" w:rsidP="005542E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614C1C">
              <w:rPr>
                <w:rFonts w:ascii="Calibri" w:hAnsi="Calibri" w:cs="Calibri"/>
                <w:sz w:val="20"/>
                <w:szCs w:val="28"/>
              </w:rPr>
              <w:t>PROGNOSTIC VALIDITY OF TUMOR MARKER CA-15 3 IN PATIENTS WITH BREAST CANCER</w:t>
            </w:r>
            <w:r>
              <w:rPr>
                <w:rFonts w:ascii="Calibri" w:hAnsi="Calibri" w:cs="Calibri"/>
                <w:sz w:val="20"/>
                <w:szCs w:val="28"/>
              </w:rPr>
              <w:t xml:space="preserve">/ </w:t>
            </w:r>
            <w:r>
              <w:rPr>
                <w:rFonts w:ascii="Calibri" w:hAnsi="Calibri" w:cs="Calibri"/>
                <w:color w:val="FF0000"/>
                <w:sz w:val="20"/>
                <w:szCs w:val="28"/>
              </w:rPr>
              <w:t>FEP</w:t>
            </w: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33</w:t>
            </w:r>
          </w:p>
        </w:tc>
        <w:tc>
          <w:tcPr>
            <w:tcW w:w="2642" w:type="dxa"/>
          </w:tcPr>
          <w:p w:rsidR="00F915C9" w:rsidRDefault="00F915C9" w:rsidP="005542EA">
            <w:r>
              <w:t>Škribulja, Rahelić</w:t>
            </w:r>
          </w:p>
        </w:tc>
        <w:tc>
          <w:tcPr>
            <w:tcW w:w="4692" w:type="dxa"/>
          </w:tcPr>
          <w:p w:rsidR="00F915C9" w:rsidRPr="00E84D22" w:rsidRDefault="00F915C9" w:rsidP="005542EA">
            <w:pPr>
              <w:jc w:val="left"/>
              <w:rPr>
                <w:sz w:val="20"/>
                <w:szCs w:val="28"/>
              </w:rPr>
            </w:pPr>
            <w:r w:rsidRPr="00E84D22">
              <w:rPr>
                <w:sz w:val="20"/>
                <w:szCs w:val="28"/>
              </w:rPr>
              <w:t>LIJEČENJE BOLESNIKA SA ŠEĆERNOM BOLEŠĆU TIPA 2 U TERCIJARNOM DIJABETOLOŠKOM CENTRU – OD SMJERNICA DO SVAKODNEVNE PRAKSE</w:t>
            </w:r>
            <w:r>
              <w:rPr>
                <w:sz w:val="20"/>
                <w:szCs w:val="28"/>
              </w:rPr>
              <w:t xml:space="preserve"> /</w:t>
            </w:r>
            <w:r>
              <w:rPr>
                <w:color w:val="FF0000"/>
                <w:sz w:val="20"/>
                <w:szCs w:val="28"/>
              </w:rPr>
              <w:t>LJS 1</w:t>
            </w: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  <w:tr w:rsidR="00F915C9" w:rsidTr="00F915C9">
        <w:tc>
          <w:tcPr>
            <w:tcW w:w="727" w:type="dxa"/>
          </w:tcPr>
          <w:p w:rsidR="00F915C9" w:rsidRDefault="00F915C9" w:rsidP="005542EA">
            <w:r>
              <w:t>34</w:t>
            </w:r>
          </w:p>
        </w:tc>
        <w:tc>
          <w:tcPr>
            <w:tcW w:w="2642" w:type="dxa"/>
          </w:tcPr>
          <w:p w:rsidR="00F915C9" w:rsidRPr="00EC5223" w:rsidRDefault="00F915C9" w:rsidP="005542EA">
            <w:pPr>
              <w:autoSpaceDE w:val="0"/>
              <w:autoSpaceDN w:val="0"/>
              <w:adjustRightInd w:val="0"/>
              <w:ind w:left="540" w:hanging="540"/>
              <w:rPr>
                <w:color w:val="000000" w:themeColor="text1"/>
                <w:szCs w:val="24"/>
                <w:lang w:val="en-US"/>
              </w:rPr>
            </w:pPr>
            <w:r w:rsidRPr="00EC5223">
              <w:rPr>
                <w:color w:val="000000" w:themeColor="text1"/>
                <w:szCs w:val="24"/>
                <w:lang w:val="en-US"/>
              </w:rPr>
              <w:t xml:space="preserve">Zisovska, Slaveska Raichki, NIcha </w:t>
            </w:r>
          </w:p>
          <w:p w:rsidR="00F915C9" w:rsidRPr="00EC5223" w:rsidRDefault="00F915C9" w:rsidP="005542EA"/>
        </w:tc>
        <w:tc>
          <w:tcPr>
            <w:tcW w:w="4692" w:type="dxa"/>
          </w:tcPr>
          <w:p w:rsidR="00F915C9" w:rsidRPr="00627BCE" w:rsidRDefault="00F915C9" w:rsidP="005542EA">
            <w:pPr>
              <w:autoSpaceDE w:val="0"/>
              <w:autoSpaceDN w:val="0"/>
              <w:adjustRightInd w:val="0"/>
              <w:ind w:left="540" w:hanging="540"/>
              <w:jc w:val="left"/>
              <w:rPr>
                <w:rFonts w:ascii="Calibri" w:hAnsi="Calibri"/>
                <w:color w:val="000000" w:themeColor="text1"/>
                <w:sz w:val="28"/>
                <w:szCs w:val="28"/>
                <w:lang w:val="en-US"/>
              </w:rPr>
            </w:pPr>
            <w:r w:rsidRPr="00627BCE">
              <w:rPr>
                <w:rFonts w:ascii="Calibri" w:hAnsi="Calibri"/>
                <w:color w:val="000000" w:themeColor="text1"/>
                <w:sz w:val="20"/>
                <w:szCs w:val="28"/>
                <w:lang w:val="en-US"/>
              </w:rPr>
              <w:t>EVIDENCE BASED CLINICAL GUIDELINES AS A POTENTIAL FOR IMPROVEMENT OF THE</w:t>
            </w:r>
            <w:r>
              <w:rPr>
                <w:rFonts w:ascii="Calibri" w:hAnsi="Calibri"/>
                <w:color w:val="000000" w:themeColor="text1"/>
                <w:sz w:val="16"/>
                <w:lang w:val="en-US"/>
              </w:rPr>
              <w:t xml:space="preserve"> </w:t>
            </w:r>
            <w:r w:rsidRPr="00627BCE">
              <w:rPr>
                <w:rFonts w:ascii="Calibri" w:hAnsi="Calibri"/>
                <w:color w:val="000000" w:themeColor="text1"/>
                <w:sz w:val="20"/>
                <w:szCs w:val="28"/>
                <w:lang w:val="en-US"/>
              </w:rPr>
              <w:t>NEWBORN INFANTS PATIENT SAFETY</w:t>
            </w:r>
            <w:r>
              <w:rPr>
                <w:rFonts w:ascii="Calibri" w:hAnsi="Calibri"/>
                <w:color w:val="000000" w:themeColor="text1"/>
                <w:sz w:val="20"/>
                <w:szCs w:val="28"/>
                <w:lang w:val="en-US"/>
              </w:rPr>
              <w:t xml:space="preserve">/ </w:t>
            </w:r>
            <w:r>
              <w:rPr>
                <w:rFonts w:ascii="Calibri" w:hAnsi="Calibri"/>
                <w:color w:val="FF0000"/>
                <w:sz w:val="20"/>
                <w:szCs w:val="28"/>
                <w:lang w:val="en-US"/>
              </w:rPr>
              <w:t>FT</w:t>
            </w:r>
          </w:p>
          <w:p w:rsidR="00F915C9" w:rsidRPr="00E84D22" w:rsidRDefault="00F915C9" w:rsidP="005542EA">
            <w:pPr>
              <w:jc w:val="left"/>
              <w:rPr>
                <w:sz w:val="20"/>
                <w:szCs w:val="28"/>
              </w:rPr>
            </w:pPr>
          </w:p>
        </w:tc>
        <w:tc>
          <w:tcPr>
            <w:tcW w:w="1227" w:type="dxa"/>
          </w:tcPr>
          <w:p w:rsidR="00F915C9" w:rsidRDefault="00F915C9" w:rsidP="005542EA">
            <w:r>
              <w:t>P</w:t>
            </w:r>
          </w:p>
        </w:tc>
      </w:tr>
    </w:tbl>
    <w:p w:rsidR="00F915C9" w:rsidRDefault="00F915C9"/>
    <w:p w:rsidR="00BA2B0D" w:rsidRDefault="00BA2B0D" w:rsidP="00BA2B0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Tematske cjeline:</w:t>
      </w:r>
    </w:p>
    <w:p w:rsidR="00BA2B0D" w:rsidRDefault="00BA2B0D" w:rsidP="00BA2B0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18"/>
          <w:szCs w:val="18"/>
        </w:rPr>
      </w:pPr>
    </w:p>
    <w:p w:rsidR="00EF1637" w:rsidRDefault="00BA2B0D" w:rsidP="00BA2B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18"/>
          <w:szCs w:val="18"/>
        </w:rPr>
      </w:pPr>
      <w:r w:rsidRPr="00EF1637">
        <w:rPr>
          <w:rFonts w:ascii="MyriadPro-Regular" w:hAnsi="MyriadPro-Regular" w:cs="MyriadPro-Regular"/>
          <w:sz w:val="18"/>
          <w:szCs w:val="18"/>
        </w:rPr>
        <w:t>Ljekarnička skrb i sigurnost lijekova</w:t>
      </w:r>
      <w:r w:rsidR="00FF2C7F" w:rsidRPr="00EF1637">
        <w:rPr>
          <w:rFonts w:ascii="MyriadPro-Regular" w:hAnsi="MyriadPro-Regular" w:cs="MyriadPro-Regular"/>
          <w:sz w:val="18"/>
          <w:szCs w:val="18"/>
        </w:rPr>
        <w:t xml:space="preserve"> (</w:t>
      </w:r>
      <w:r w:rsidR="00613791" w:rsidRPr="00A11055">
        <w:rPr>
          <w:rFonts w:ascii="MyriadPro-Regular" w:hAnsi="MyriadPro-Regular" w:cs="MyriadPro-Regular"/>
          <w:color w:val="FF0000"/>
          <w:sz w:val="18"/>
          <w:szCs w:val="18"/>
        </w:rPr>
        <w:t>1</w:t>
      </w:r>
      <w:r w:rsidR="00613791">
        <w:rPr>
          <w:rFonts w:ascii="MyriadPro-Regular" w:hAnsi="MyriadPro-Regular" w:cs="MyriadPro-Regular"/>
          <w:sz w:val="18"/>
          <w:szCs w:val="18"/>
        </w:rPr>
        <w:t>-</w:t>
      </w:r>
      <w:r w:rsidR="00FF2C7F" w:rsidRPr="00EF1637">
        <w:rPr>
          <w:rFonts w:ascii="MyriadPro-Regular" w:hAnsi="MyriadPro-Regular" w:cs="MyriadPro-Regular"/>
          <w:sz w:val="18"/>
          <w:szCs w:val="18"/>
        </w:rPr>
        <w:t xml:space="preserve">bolničko i </w:t>
      </w:r>
      <w:r w:rsidR="00613791" w:rsidRPr="00A11055">
        <w:rPr>
          <w:rFonts w:ascii="MyriadPro-Regular" w:hAnsi="MyriadPro-Regular" w:cs="MyriadPro-Regular"/>
          <w:color w:val="FF0000"/>
          <w:sz w:val="18"/>
          <w:szCs w:val="18"/>
        </w:rPr>
        <w:t>2</w:t>
      </w:r>
      <w:r w:rsidR="00613791">
        <w:rPr>
          <w:rFonts w:ascii="MyriadPro-Regular" w:hAnsi="MyriadPro-Regular" w:cs="MyriadPro-Regular"/>
          <w:sz w:val="18"/>
          <w:szCs w:val="18"/>
        </w:rPr>
        <w:t>-</w:t>
      </w:r>
      <w:r w:rsidR="00FF2C7F" w:rsidRPr="00EF1637">
        <w:rPr>
          <w:rFonts w:ascii="MyriadPro-Regular" w:hAnsi="MyriadPro-Regular" w:cs="MyriadPro-Regular"/>
          <w:sz w:val="18"/>
          <w:szCs w:val="18"/>
        </w:rPr>
        <w:t>javno ljekarništvo)</w:t>
      </w:r>
      <w:r w:rsidR="00E902D4">
        <w:rPr>
          <w:rFonts w:ascii="MyriadPro-Regular" w:hAnsi="MyriadPro-Regular" w:cs="MyriadPro-Regular"/>
          <w:sz w:val="18"/>
          <w:szCs w:val="18"/>
        </w:rPr>
        <w:t xml:space="preserve"> (</w:t>
      </w:r>
      <w:r w:rsidR="00E902D4" w:rsidRPr="00E902D4">
        <w:rPr>
          <w:rFonts w:ascii="MyriadPro-Regular" w:hAnsi="MyriadPro-Regular" w:cs="MyriadPro-Regular"/>
          <w:color w:val="FF0000"/>
          <w:sz w:val="18"/>
          <w:szCs w:val="18"/>
        </w:rPr>
        <w:t>LJS)</w:t>
      </w:r>
    </w:p>
    <w:p w:rsidR="00613791" w:rsidRDefault="00BA2B0D" w:rsidP="00BA2B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18"/>
          <w:szCs w:val="18"/>
        </w:rPr>
      </w:pPr>
      <w:r w:rsidRPr="00613791">
        <w:rPr>
          <w:rFonts w:ascii="MyriadPro-Regular" w:hAnsi="MyriadPro-Regular" w:cs="MyriadPro-Regular"/>
          <w:sz w:val="18"/>
          <w:szCs w:val="18"/>
        </w:rPr>
        <w:t>Edukacija kliničke farmacije</w:t>
      </w:r>
      <w:r w:rsidR="00600819" w:rsidRPr="00613791">
        <w:rPr>
          <w:rFonts w:ascii="MyriadPro-Regular" w:hAnsi="MyriadPro-Regular" w:cs="MyriadPro-Regular"/>
          <w:sz w:val="18"/>
          <w:szCs w:val="18"/>
        </w:rPr>
        <w:t xml:space="preserve"> </w:t>
      </w:r>
      <w:r w:rsidR="00E902D4">
        <w:rPr>
          <w:rFonts w:ascii="MyriadPro-Regular" w:hAnsi="MyriadPro-Regular" w:cs="MyriadPro-Regular"/>
          <w:sz w:val="18"/>
          <w:szCs w:val="18"/>
        </w:rPr>
        <w:t xml:space="preserve"> (</w:t>
      </w:r>
      <w:r w:rsidR="00E902D4" w:rsidRPr="00E902D4">
        <w:rPr>
          <w:rFonts w:ascii="MyriadPro-Regular" w:hAnsi="MyriadPro-Regular" w:cs="MyriadPro-Regular"/>
          <w:color w:val="FF0000"/>
          <w:sz w:val="18"/>
          <w:szCs w:val="18"/>
        </w:rPr>
        <w:t>E</w:t>
      </w:r>
      <w:r w:rsidR="00E902D4">
        <w:rPr>
          <w:rFonts w:ascii="MyriadPro-Regular" w:hAnsi="MyriadPro-Regular" w:cs="MyriadPro-Regular"/>
          <w:sz w:val="18"/>
          <w:szCs w:val="18"/>
        </w:rPr>
        <w:t>)</w:t>
      </w:r>
    </w:p>
    <w:p w:rsidR="00EF1637" w:rsidRPr="00613791" w:rsidRDefault="00BA2B0D" w:rsidP="00BA2B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18"/>
          <w:szCs w:val="18"/>
        </w:rPr>
      </w:pPr>
      <w:r w:rsidRPr="00613791">
        <w:rPr>
          <w:rFonts w:ascii="MyriadPro-Regular" w:hAnsi="MyriadPro-Regular" w:cs="MyriadPro-Regular"/>
          <w:sz w:val="18"/>
          <w:szCs w:val="18"/>
        </w:rPr>
        <w:t>Praćenje terapijske koncentracije lijeka i farmakokinetika/genomika</w:t>
      </w:r>
      <w:r w:rsidR="00E902D4">
        <w:rPr>
          <w:rFonts w:ascii="MyriadPro-Regular" w:hAnsi="MyriadPro-Regular" w:cs="MyriadPro-Regular"/>
          <w:sz w:val="18"/>
          <w:szCs w:val="18"/>
        </w:rPr>
        <w:t xml:space="preserve"> (</w:t>
      </w:r>
      <w:r w:rsidR="00E902D4" w:rsidRPr="00E902D4">
        <w:rPr>
          <w:rFonts w:ascii="MyriadPro-Regular" w:hAnsi="MyriadPro-Regular" w:cs="MyriadPro-Regular"/>
          <w:color w:val="FF0000"/>
          <w:sz w:val="18"/>
          <w:szCs w:val="18"/>
        </w:rPr>
        <w:t>FKG)</w:t>
      </w:r>
    </w:p>
    <w:p w:rsidR="00EF1637" w:rsidRDefault="00BA2B0D" w:rsidP="00BA2B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18"/>
          <w:szCs w:val="18"/>
        </w:rPr>
      </w:pPr>
      <w:r w:rsidRPr="00EF1637">
        <w:rPr>
          <w:rFonts w:ascii="MyriadPro-Regular" w:hAnsi="MyriadPro-Regular" w:cs="MyriadPro-Regular"/>
          <w:sz w:val="18"/>
          <w:szCs w:val="18"/>
        </w:rPr>
        <w:t>Informacije o lijekovima</w:t>
      </w:r>
      <w:r w:rsidR="00E902D4">
        <w:rPr>
          <w:rFonts w:ascii="MyriadPro-Regular" w:hAnsi="MyriadPro-Regular" w:cs="MyriadPro-Regular"/>
          <w:sz w:val="18"/>
          <w:szCs w:val="18"/>
        </w:rPr>
        <w:t xml:space="preserve"> </w:t>
      </w:r>
      <w:r w:rsidR="00E902D4" w:rsidRPr="00E902D4">
        <w:rPr>
          <w:rFonts w:ascii="MyriadPro-Regular" w:hAnsi="MyriadPro-Regular" w:cs="MyriadPro-Regular"/>
          <w:color w:val="FF0000"/>
          <w:sz w:val="18"/>
          <w:szCs w:val="18"/>
        </w:rPr>
        <w:t>(IL)</w:t>
      </w:r>
    </w:p>
    <w:p w:rsidR="00EF1637" w:rsidRPr="00AB60B8" w:rsidRDefault="00BA2B0D" w:rsidP="00AB60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18"/>
          <w:szCs w:val="18"/>
        </w:rPr>
      </w:pPr>
      <w:r w:rsidRPr="00EF1637">
        <w:rPr>
          <w:rFonts w:ascii="MyriadPro-Regular" w:hAnsi="MyriadPro-Regular" w:cs="MyriadPro-Regular"/>
          <w:sz w:val="18"/>
          <w:szCs w:val="18"/>
        </w:rPr>
        <w:t>Farmakoepidemiologija</w:t>
      </w:r>
      <w:r w:rsidR="00AB60B8">
        <w:rPr>
          <w:rFonts w:ascii="MyriadPro-Regular" w:hAnsi="MyriadPro-Regular" w:cs="MyriadPro-Regular"/>
          <w:sz w:val="18"/>
          <w:szCs w:val="18"/>
        </w:rPr>
        <w:t xml:space="preserve"> i</w:t>
      </w:r>
      <w:r w:rsidR="00AB60B8" w:rsidRPr="00AB60B8">
        <w:rPr>
          <w:rFonts w:ascii="MyriadPro-Regular" w:hAnsi="MyriadPro-Regular" w:cs="MyriadPro-Regular"/>
          <w:sz w:val="18"/>
          <w:szCs w:val="18"/>
        </w:rPr>
        <w:t xml:space="preserve"> </w:t>
      </w:r>
      <w:r w:rsidR="00AB60B8">
        <w:rPr>
          <w:rFonts w:ascii="MyriadPro-Regular" w:hAnsi="MyriadPro-Regular" w:cs="MyriadPro-Regular"/>
          <w:sz w:val="18"/>
          <w:szCs w:val="18"/>
        </w:rPr>
        <w:t>j</w:t>
      </w:r>
      <w:r w:rsidR="00AB60B8" w:rsidRPr="00EF1637">
        <w:rPr>
          <w:rFonts w:ascii="MyriadPro-Regular" w:hAnsi="MyriadPro-Regular" w:cs="MyriadPro-Regular"/>
          <w:sz w:val="18"/>
          <w:szCs w:val="18"/>
        </w:rPr>
        <w:t>avno zdravstvo</w:t>
      </w:r>
      <w:r w:rsidR="00E902D4">
        <w:rPr>
          <w:rFonts w:ascii="MyriadPro-Regular" w:hAnsi="MyriadPro-Regular" w:cs="MyriadPro-Regular"/>
          <w:sz w:val="18"/>
          <w:szCs w:val="18"/>
        </w:rPr>
        <w:t xml:space="preserve"> (</w:t>
      </w:r>
      <w:r w:rsidR="00E902D4" w:rsidRPr="00E902D4">
        <w:rPr>
          <w:rFonts w:ascii="MyriadPro-Regular" w:hAnsi="MyriadPro-Regular" w:cs="MyriadPro-Regular"/>
          <w:color w:val="FF0000"/>
          <w:sz w:val="18"/>
          <w:szCs w:val="18"/>
        </w:rPr>
        <w:t>FEP</w:t>
      </w:r>
      <w:r w:rsidR="00E902D4">
        <w:rPr>
          <w:rFonts w:ascii="MyriadPro-Regular" w:hAnsi="MyriadPro-Regular" w:cs="MyriadPro-Regular"/>
          <w:sz w:val="18"/>
          <w:szCs w:val="18"/>
        </w:rPr>
        <w:t>)</w:t>
      </w:r>
    </w:p>
    <w:p w:rsidR="00EF1637" w:rsidRDefault="00BA2B0D" w:rsidP="00BA2B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18"/>
          <w:szCs w:val="18"/>
        </w:rPr>
      </w:pPr>
      <w:r w:rsidRPr="00EF1637">
        <w:rPr>
          <w:rFonts w:ascii="MyriadPro-Regular" w:hAnsi="MyriadPro-Regular" w:cs="MyriadPro-Regular"/>
          <w:sz w:val="18"/>
          <w:szCs w:val="18"/>
        </w:rPr>
        <w:t>Farmakoekonomika</w:t>
      </w:r>
      <w:r w:rsidR="00BA0CC5">
        <w:rPr>
          <w:rFonts w:ascii="MyriadPro-Regular" w:hAnsi="MyriadPro-Regular" w:cs="MyriadPro-Regular"/>
          <w:sz w:val="18"/>
          <w:szCs w:val="18"/>
        </w:rPr>
        <w:t xml:space="preserve"> (</w:t>
      </w:r>
      <w:r w:rsidR="00BA0CC5" w:rsidRPr="00BA0CC5">
        <w:rPr>
          <w:rFonts w:ascii="MyriadPro-Regular" w:hAnsi="MyriadPro-Regular" w:cs="MyriadPro-Regular"/>
          <w:color w:val="FF0000"/>
          <w:sz w:val="18"/>
          <w:szCs w:val="18"/>
        </w:rPr>
        <w:t>FE</w:t>
      </w:r>
      <w:r w:rsidR="00BA0CC5">
        <w:rPr>
          <w:rFonts w:ascii="MyriadPro-Regular" w:hAnsi="MyriadPro-Regular" w:cs="MyriadPro-Regular"/>
          <w:sz w:val="18"/>
          <w:szCs w:val="18"/>
        </w:rPr>
        <w:t>)</w:t>
      </w:r>
    </w:p>
    <w:p w:rsidR="00EF1637" w:rsidRDefault="00BA2B0D" w:rsidP="00BA2B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18"/>
          <w:szCs w:val="18"/>
        </w:rPr>
      </w:pPr>
      <w:r w:rsidRPr="00EF1637">
        <w:rPr>
          <w:rFonts w:ascii="MyriadPro-Regular" w:hAnsi="MyriadPro-Regular" w:cs="MyriadPro-Regular"/>
          <w:sz w:val="18"/>
          <w:szCs w:val="18"/>
        </w:rPr>
        <w:t>Farmakoterapija</w:t>
      </w:r>
      <w:r w:rsidR="00E902D4">
        <w:rPr>
          <w:rFonts w:ascii="MyriadPro-Regular" w:hAnsi="MyriadPro-Regular" w:cs="MyriadPro-Regular"/>
          <w:sz w:val="18"/>
          <w:szCs w:val="18"/>
        </w:rPr>
        <w:t xml:space="preserve"> (</w:t>
      </w:r>
      <w:r w:rsidR="00E902D4" w:rsidRPr="00E902D4">
        <w:rPr>
          <w:rFonts w:ascii="MyriadPro-Regular" w:hAnsi="MyriadPro-Regular" w:cs="MyriadPro-Regular"/>
          <w:color w:val="FF0000"/>
          <w:sz w:val="18"/>
          <w:szCs w:val="18"/>
        </w:rPr>
        <w:t>FT)</w:t>
      </w:r>
    </w:p>
    <w:p w:rsidR="00BA2B0D" w:rsidRPr="00EF3AB6" w:rsidRDefault="00BA2B0D" w:rsidP="00BA2B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18"/>
          <w:szCs w:val="18"/>
        </w:rPr>
      </w:pPr>
      <w:r w:rsidRPr="00EF1637">
        <w:rPr>
          <w:rFonts w:ascii="MyriadPro-Regular" w:hAnsi="MyriadPro-Regular" w:cs="MyriadPro-Regular"/>
          <w:sz w:val="18"/>
          <w:szCs w:val="18"/>
        </w:rPr>
        <w:t>Is</w:t>
      </w:r>
      <w:r w:rsidR="00D5702E" w:rsidRPr="00EF1637">
        <w:rPr>
          <w:rFonts w:ascii="MyriadPro-Regular" w:hAnsi="MyriadPro-Regular" w:cs="MyriadPro-Regular"/>
          <w:sz w:val="18"/>
          <w:szCs w:val="18"/>
        </w:rPr>
        <w:t>t</w:t>
      </w:r>
      <w:r w:rsidRPr="00EF1637">
        <w:rPr>
          <w:rFonts w:ascii="MyriadPro-Regular" w:hAnsi="MyriadPro-Regular" w:cs="MyriadPro-Regular"/>
          <w:sz w:val="18"/>
          <w:szCs w:val="18"/>
        </w:rPr>
        <w:t>raživanje i razvoj</w:t>
      </w:r>
      <w:r w:rsidR="00E902D4">
        <w:rPr>
          <w:rFonts w:ascii="MyriadPro-Regular" w:hAnsi="MyriadPro-Regular" w:cs="MyriadPro-Regular"/>
          <w:sz w:val="18"/>
          <w:szCs w:val="18"/>
        </w:rPr>
        <w:t xml:space="preserve"> (</w:t>
      </w:r>
      <w:r w:rsidR="00E902D4" w:rsidRPr="00E902D4">
        <w:rPr>
          <w:rFonts w:ascii="MyriadPro-Regular" w:hAnsi="MyriadPro-Regular" w:cs="MyriadPro-Regular"/>
          <w:color w:val="FF0000"/>
          <w:sz w:val="18"/>
          <w:szCs w:val="18"/>
        </w:rPr>
        <w:t>IR)</w:t>
      </w:r>
    </w:p>
    <w:p w:rsidR="00EF3AB6" w:rsidRPr="00EF1637" w:rsidRDefault="00EF3AB6" w:rsidP="00BA2B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Nutritivna potpora i intravenozna terapija (</w:t>
      </w:r>
      <w:r w:rsidRPr="00EF3AB6">
        <w:rPr>
          <w:rFonts w:ascii="MyriadPro-Regular" w:hAnsi="MyriadPro-Regular" w:cs="MyriadPro-Regular"/>
          <w:color w:val="FF0000"/>
          <w:sz w:val="18"/>
          <w:szCs w:val="18"/>
        </w:rPr>
        <w:t>NUT</w:t>
      </w:r>
      <w:r w:rsidR="004B13A9">
        <w:rPr>
          <w:rFonts w:ascii="MyriadPro-Regular" w:hAnsi="MyriadPro-Regular" w:cs="MyriadPro-Regular"/>
          <w:color w:val="FF0000"/>
          <w:sz w:val="18"/>
          <w:szCs w:val="18"/>
        </w:rPr>
        <w:t>/IV</w:t>
      </w:r>
      <w:r w:rsidRPr="00EF3AB6">
        <w:rPr>
          <w:rFonts w:ascii="MyriadPro-Regular" w:hAnsi="MyriadPro-Regular" w:cs="MyriadPro-Regular"/>
          <w:color w:val="FF0000"/>
          <w:sz w:val="18"/>
          <w:szCs w:val="18"/>
        </w:rPr>
        <w:t>)</w:t>
      </w:r>
    </w:p>
    <w:p w:rsidR="00BA2B0D" w:rsidRDefault="00BA2B0D"/>
    <w:sectPr w:rsidR="00BA2B0D" w:rsidSect="00F91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F9F0EEE"/>
    <w:multiLevelType w:val="hybridMultilevel"/>
    <w:tmpl w:val="D2D24E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5293"/>
    <w:rsid w:val="00012053"/>
    <w:rsid w:val="000659DA"/>
    <w:rsid w:val="00075729"/>
    <w:rsid w:val="000774FC"/>
    <w:rsid w:val="000C1C45"/>
    <w:rsid w:val="000E7453"/>
    <w:rsid w:val="001367F5"/>
    <w:rsid w:val="00157616"/>
    <w:rsid w:val="00190C37"/>
    <w:rsid w:val="00195A9B"/>
    <w:rsid w:val="001A148E"/>
    <w:rsid w:val="001A2EBB"/>
    <w:rsid w:val="001B705E"/>
    <w:rsid w:val="001C6DA3"/>
    <w:rsid w:val="001D033B"/>
    <w:rsid w:val="001D765F"/>
    <w:rsid w:val="001E72D3"/>
    <w:rsid w:val="001F673C"/>
    <w:rsid w:val="001F7707"/>
    <w:rsid w:val="002315F3"/>
    <w:rsid w:val="0023524B"/>
    <w:rsid w:val="00291408"/>
    <w:rsid w:val="00291D79"/>
    <w:rsid w:val="002A398F"/>
    <w:rsid w:val="002C2696"/>
    <w:rsid w:val="002C36D1"/>
    <w:rsid w:val="002E2658"/>
    <w:rsid w:val="00301CE0"/>
    <w:rsid w:val="00301DA7"/>
    <w:rsid w:val="003311BF"/>
    <w:rsid w:val="00355293"/>
    <w:rsid w:val="003968BE"/>
    <w:rsid w:val="003A7560"/>
    <w:rsid w:val="003D44B5"/>
    <w:rsid w:val="003E69A1"/>
    <w:rsid w:val="003F0BB9"/>
    <w:rsid w:val="004105E8"/>
    <w:rsid w:val="00432DD0"/>
    <w:rsid w:val="00441918"/>
    <w:rsid w:val="00457C6F"/>
    <w:rsid w:val="004632CB"/>
    <w:rsid w:val="00487F3F"/>
    <w:rsid w:val="004A0419"/>
    <w:rsid w:val="004B13A9"/>
    <w:rsid w:val="005405E2"/>
    <w:rsid w:val="0055734C"/>
    <w:rsid w:val="0058341C"/>
    <w:rsid w:val="005840C0"/>
    <w:rsid w:val="005A1E68"/>
    <w:rsid w:val="005A3479"/>
    <w:rsid w:val="005B7082"/>
    <w:rsid w:val="005E62FC"/>
    <w:rsid w:val="00600819"/>
    <w:rsid w:val="00613791"/>
    <w:rsid w:val="00614C1C"/>
    <w:rsid w:val="00627BCE"/>
    <w:rsid w:val="00634A7E"/>
    <w:rsid w:val="00677F22"/>
    <w:rsid w:val="006839F6"/>
    <w:rsid w:val="006A4222"/>
    <w:rsid w:val="006B2027"/>
    <w:rsid w:val="006C08FE"/>
    <w:rsid w:val="006C2C6D"/>
    <w:rsid w:val="006D3CFA"/>
    <w:rsid w:val="006D5E03"/>
    <w:rsid w:val="006F0E0B"/>
    <w:rsid w:val="00700951"/>
    <w:rsid w:val="0072641F"/>
    <w:rsid w:val="00731361"/>
    <w:rsid w:val="00734231"/>
    <w:rsid w:val="0076362C"/>
    <w:rsid w:val="00771C88"/>
    <w:rsid w:val="007A2526"/>
    <w:rsid w:val="00833EA0"/>
    <w:rsid w:val="00840E25"/>
    <w:rsid w:val="008472C3"/>
    <w:rsid w:val="00885248"/>
    <w:rsid w:val="0089101B"/>
    <w:rsid w:val="00892E2C"/>
    <w:rsid w:val="0089484F"/>
    <w:rsid w:val="0089508F"/>
    <w:rsid w:val="00897C08"/>
    <w:rsid w:val="008A2731"/>
    <w:rsid w:val="008B1062"/>
    <w:rsid w:val="008B4D77"/>
    <w:rsid w:val="008D02C4"/>
    <w:rsid w:val="008D6366"/>
    <w:rsid w:val="009078BE"/>
    <w:rsid w:val="0091556C"/>
    <w:rsid w:val="00956179"/>
    <w:rsid w:val="00970004"/>
    <w:rsid w:val="009D43E3"/>
    <w:rsid w:val="009E2EB9"/>
    <w:rsid w:val="00A11055"/>
    <w:rsid w:val="00A27AAA"/>
    <w:rsid w:val="00AA5605"/>
    <w:rsid w:val="00AA7520"/>
    <w:rsid w:val="00AB60B8"/>
    <w:rsid w:val="00AC2749"/>
    <w:rsid w:val="00AD1573"/>
    <w:rsid w:val="00AD7BD7"/>
    <w:rsid w:val="00B03F74"/>
    <w:rsid w:val="00B37605"/>
    <w:rsid w:val="00B51372"/>
    <w:rsid w:val="00B80036"/>
    <w:rsid w:val="00B817DA"/>
    <w:rsid w:val="00B85A3A"/>
    <w:rsid w:val="00B972CA"/>
    <w:rsid w:val="00BA0CC5"/>
    <w:rsid w:val="00BA2B0D"/>
    <w:rsid w:val="00BB57FE"/>
    <w:rsid w:val="00BB7804"/>
    <w:rsid w:val="00BC2EB9"/>
    <w:rsid w:val="00BE14BB"/>
    <w:rsid w:val="00BF29E0"/>
    <w:rsid w:val="00C531CA"/>
    <w:rsid w:val="00C9791F"/>
    <w:rsid w:val="00CB1931"/>
    <w:rsid w:val="00CF76A3"/>
    <w:rsid w:val="00D40E74"/>
    <w:rsid w:val="00D5702E"/>
    <w:rsid w:val="00D77583"/>
    <w:rsid w:val="00DA2BCB"/>
    <w:rsid w:val="00E52758"/>
    <w:rsid w:val="00E560B1"/>
    <w:rsid w:val="00E61289"/>
    <w:rsid w:val="00E70DEF"/>
    <w:rsid w:val="00E84D22"/>
    <w:rsid w:val="00E84FCA"/>
    <w:rsid w:val="00E902D4"/>
    <w:rsid w:val="00EA11CF"/>
    <w:rsid w:val="00EA27E8"/>
    <w:rsid w:val="00EA50C8"/>
    <w:rsid w:val="00EA5DF0"/>
    <w:rsid w:val="00EC5223"/>
    <w:rsid w:val="00EF1637"/>
    <w:rsid w:val="00EF3AB6"/>
    <w:rsid w:val="00F001A9"/>
    <w:rsid w:val="00F02C1E"/>
    <w:rsid w:val="00F20E36"/>
    <w:rsid w:val="00F30520"/>
    <w:rsid w:val="00F43F13"/>
    <w:rsid w:val="00F66983"/>
    <w:rsid w:val="00F678BE"/>
    <w:rsid w:val="00F82228"/>
    <w:rsid w:val="00F915C9"/>
    <w:rsid w:val="00F92809"/>
    <w:rsid w:val="00FC7974"/>
    <w:rsid w:val="00FD4256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B9"/>
  </w:style>
  <w:style w:type="paragraph" w:styleId="Heading1">
    <w:name w:val="heading 1"/>
    <w:basedOn w:val="Normal"/>
    <w:next w:val="BodyText"/>
    <w:link w:val="Heading1Char"/>
    <w:qFormat/>
    <w:rsid w:val="00731361"/>
    <w:pPr>
      <w:keepNext/>
      <w:widowControl w:val="0"/>
      <w:numPr>
        <w:numId w:val="1"/>
      </w:numPr>
      <w:suppressAutoHyphens/>
      <w:spacing w:before="240" w:after="120" w:line="240" w:lineRule="auto"/>
      <w:jc w:val="left"/>
      <w:outlineLvl w:val="0"/>
    </w:pPr>
    <w:rPr>
      <w:rFonts w:ascii="Times New Roman" w:eastAsia="Lucida Sans Unicode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2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31361"/>
    <w:rPr>
      <w:rFonts w:ascii="Times New Roman" w:eastAsia="Lucida Sans Unicode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hps">
    <w:name w:val="hps"/>
    <w:basedOn w:val="DefaultParagraphFont"/>
    <w:rsid w:val="00731361"/>
  </w:style>
  <w:style w:type="paragraph" w:styleId="BodyText">
    <w:name w:val="Body Text"/>
    <w:basedOn w:val="Normal"/>
    <w:link w:val="BodyTextChar"/>
    <w:uiPriority w:val="99"/>
    <w:semiHidden/>
    <w:unhideWhenUsed/>
    <w:rsid w:val="007313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1361"/>
  </w:style>
  <w:style w:type="paragraph" w:styleId="ListParagraph">
    <w:name w:val="List Paragraph"/>
    <w:basedOn w:val="Normal"/>
    <w:uiPriority w:val="34"/>
    <w:qFormat/>
    <w:rsid w:val="00EF16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14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30F155D-4EF9-4E56-B48B-8EB105C7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FBF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Beti</cp:lastModifiedBy>
  <cp:revision>2</cp:revision>
  <dcterms:created xsi:type="dcterms:W3CDTF">2015-07-13T14:54:00Z</dcterms:created>
  <dcterms:modified xsi:type="dcterms:W3CDTF">2015-07-13T14:54:00Z</dcterms:modified>
</cp:coreProperties>
</file>