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B6" w:rsidRDefault="009042D7" w:rsidP="00361EA2">
      <w:pPr>
        <w:jc w:val="center"/>
        <w:rPr>
          <w:rFonts w:ascii="Arial" w:hAnsi="Arial" w:cs="Arial"/>
          <w:b/>
          <w:sz w:val="24"/>
          <w:szCs w:val="24"/>
        </w:rPr>
      </w:pPr>
      <w:r w:rsidRPr="00CB2FB6">
        <w:rPr>
          <w:rFonts w:ascii="Arial" w:hAnsi="Arial" w:cs="Arial"/>
          <w:b/>
          <w:sz w:val="24"/>
          <w:szCs w:val="24"/>
        </w:rPr>
        <w:t>The fiscal pol</w:t>
      </w:r>
      <w:r w:rsidR="0005133F">
        <w:rPr>
          <w:rFonts w:ascii="Arial" w:hAnsi="Arial" w:cs="Arial"/>
          <w:b/>
          <w:sz w:val="24"/>
          <w:szCs w:val="24"/>
        </w:rPr>
        <w:t>icy</w:t>
      </w:r>
      <w:r w:rsidR="00361EA2" w:rsidRPr="00361EA2">
        <w:rPr>
          <w:rFonts w:ascii="Arial" w:hAnsi="Arial" w:cs="Arial"/>
          <w:b/>
          <w:sz w:val="24"/>
          <w:szCs w:val="24"/>
        </w:rPr>
        <w:t xml:space="preserve"> </w:t>
      </w:r>
      <w:r w:rsidR="00361EA2" w:rsidRPr="00CB2FB6">
        <w:rPr>
          <w:rFonts w:ascii="Arial" w:hAnsi="Arial" w:cs="Arial"/>
          <w:b/>
          <w:sz w:val="24"/>
          <w:szCs w:val="24"/>
        </w:rPr>
        <w:t>role</w:t>
      </w:r>
      <w:r w:rsidR="0005133F">
        <w:rPr>
          <w:rFonts w:ascii="Arial" w:hAnsi="Arial" w:cs="Arial"/>
          <w:b/>
          <w:sz w:val="24"/>
          <w:szCs w:val="24"/>
        </w:rPr>
        <w:t xml:space="preserve"> within the </w:t>
      </w:r>
      <w:r w:rsidR="00361EA2">
        <w:rPr>
          <w:rFonts w:ascii="Arial" w:hAnsi="Arial" w:cs="Arial"/>
          <w:b/>
          <w:sz w:val="24"/>
          <w:szCs w:val="24"/>
        </w:rPr>
        <w:t xml:space="preserve">Mexican </w:t>
      </w:r>
      <w:r w:rsidR="0005133F">
        <w:rPr>
          <w:rFonts w:ascii="Arial" w:hAnsi="Arial" w:cs="Arial"/>
          <w:b/>
          <w:sz w:val="24"/>
          <w:szCs w:val="24"/>
        </w:rPr>
        <w:t xml:space="preserve">crisis </w:t>
      </w:r>
      <w:r w:rsidRPr="00CB2FB6">
        <w:rPr>
          <w:rFonts w:ascii="Arial" w:hAnsi="Arial" w:cs="Arial"/>
          <w:b/>
          <w:sz w:val="24"/>
          <w:szCs w:val="24"/>
        </w:rPr>
        <w:t>or “Tequila crisis</w:t>
      </w:r>
      <w:r w:rsidR="00CB2FB6">
        <w:rPr>
          <w:rFonts w:ascii="Arial" w:hAnsi="Arial" w:cs="Arial"/>
          <w:b/>
          <w:sz w:val="24"/>
          <w:szCs w:val="24"/>
        </w:rPr>
        <w:t>”</w:t>
      </w:r>
      <w:r w:rsidRPr="00CB2FB6">
        <w:rPr>
          <w:rFonts w:ascii="Arial" w:hAnsi="Arial" w:cs="Arial"/>
          <w:b/>
          <w:sz w:val="24"/>
          <w:szCs w:val="24"/>
        </w:rPr>
        <w:t xml:space="preserve"> from 1994</w:t>
      </w:r>
      <w:r w:rsidR="00CB2FB6" w:rsidRPr="00CB2FB6">
        <w:rPr>
          <w:rFonts w:ascii="Arial" w:hAnsi="Arial" w:cs="Arial"/>
          <w:b/>
          <w:sz w:val="24"/>
          <w:szCs w:val="24"/>
        </w:rPr>
        <w:t xml:space="preserve"> – 1995</w:t>
      </w:r>
      <w:r w:rsidRPr="00CB2FB6">
        <w:rPr>
          <w:rFonts w:ascii="Arial" w:hAnsi="Arial" w:cs="Arial"/>
          <w:b/>
          <w:sz w:val="24"/>
          <w:szCs w:val="24"/>
        </w:rPr>
        <w:t>”</w:t>
      </w:r>
    </w:p>
    <w:p w:rsidR="00361EA2" w:rsidRPr="00361EA2" w:rsidRDefault="00361EA2" w:rsidP="00361EA2">
      <w:pPr>
        <w:jc w:val="center"/>
        <w:rPr>
          <w:rFonts w:ascii="Arial" w:hAnsi="Arial" w:cs="Arial"/>
          <w:b/>
          <w:sz w:val="24"/>
          <w:szCs w:val="24"/>
        </w:rPr>
      </w:pPr>
      <w:r w:rsidRPr="00CB2FB6">
        <w:rPr>
          <w:rFonts w:ascii="Arial" w:hAnsi="Arial" w:cs="Arial"/>
          <w:b/>
          <w:sz w:val="24"/>
          <w:szCs w:val="24"/>
          <w:lang w:val="mk-MK"/>
        </w:rPr>
        <w:t xml:space="preserve">Улогата на фискалната политика во рамките на Кризата во Мексико или </w:t>
      </w:r>
      <w:r w:rsidRPr="00CB2FB6">
        <w:rPr>
          <w:rFonts w:ascii="Arial" w:hAnsi="Arial" w:cs="Arial"/>
          <w:b/>
          <w:sz w:val="24"/>
          <w:szCs w:val="24"/>
        </w:rPr>
        <w:t>“Tequila crisis”</w:t>
      </w:r>
      <w:r w:rsidRPr="00CB2FB6">
        <w:rPr>
          <w:rFonts w:ascii="Arial" w:hAnsi="Arial" w:cs="Arial"/>
          <w:b/>
          <w:sz w:val="24"/>
          <w:szCs w:val="24"/>
          <w:lang w:val="mk-MK"/>
        </w:rPr>
        <w:t xml:space="preserve"> од 1994 – 1995 година</w:t>
      </w:r>
    </w:p>
    <w:p w:rsidR="000F23EE" w:rsidRPr="00361EA2" w:rsidRDefault="00CB2FB6" w:rsidP="00361EA2">
      <w:pPr>
        <w:ind w:firstLine="720"/>
        <w:jc w:val="center"/>
        <w:rPr>
          <w:rFonts w:ascii="Arial" w:hAnsi="Arial" w:cs="Arial"/>
          <w:b/>
          <w:sz w:val="24"/>
          <w:szCs w:val="24"/>
          <w:lang w:val="mk-MK"/>
        </w:rPr>
      </w:pPr>
      <w:r w:rsidRPr="00CB2FB6">
        <w:rPr>
          <w:rFonts w:ascii="Arial" w:hAnsi="Arial" w:cs="Arial"/>
          <w:b/>
          <w:sz w:val="24"/>
          <w:szCs w:val="24"/>
          <w:lang w:val="mk-MK"/>
        </w:rPr>
        <w:t>д-р Стеван Габер, м-р Василка Габер</w:t>
      </w:r>
    </w:p>
    <w:p w:rsidR="00190912" w:rsidRPr="00361EA2" w:rsidRDefault="00F4590E" w:rsidP="00361EA2">
      <w:pPr>
        <w:jc w:val="center"/>
        <w:rPr>
          <w:rFonts w:ascii="Arial" w:hAnsi="Arial" w:cs="Arial"/>
          <w:b/>
          <w:i/>
          <w:sz w:val="24"/>
          <w:szCs w:val="24"/>
        </w:rPr>
      </w:pPr>
      <w:r w:rsidRPr="00361EA2">
        <w:rPr>
          <w:rFonts w:ascii="Arial" w:hAnsi="Arial" w:cs="Arial"/>
          <w:b/>
          <w:sz w:val="24"/>
          <w:szCs w:val="24"/>
        </w:rPr>
        <w:t>Abstract</w:t>
      </w:r>
    </w:p>
    <w:p w:rsidR="007F2270" w:rsidRPr="00361EA2" w:rsidRDefault="000F23EE" w:rsidP="00361EA2">
      <w:pPr>
        <w:autoSpaceDE w:val="0"/>
        <w:autoSpaceDN w:val="0"/>
        <w:adjustRightInd w:val="0"/>
        <w:spacing w:after="0" w:line="240" w:lineRule="auto"/>
        <w:ind w:firstLine="720"/>
        <w:jc w:val="both"/>
        <w:rPr>
          <w:rFonts w:ascii="Arial" w:hAnsi="Arial" w:cs="Arial"/>
          <w:i/>
          <w:sz w:val="24"/>
          <w:szCs w:val="24"/>
          <w:lang w:val="mk-MK"/>
        </w:rPr>
      </w:pPr>
      <w:r w:rsidRPr="000F23EE">
        <w:rPr>
          <w:rFonts w:ascii="Arial" w:hAnsi="Arial" w:cs="Arial"/>
          <w:i/>
          <w:sz w:val="24"/>
          <w:szCs w:val="24"/>
        </w:rPr>
        <w:t>This paper draws several important lessons from the Tequila Crisis of 1994 and 1995</w:t>
      </w:r>
      <w:r w:rsidR="007F2270">
        <w:rPr>
          <w:rFonts w:ascii="Arial" w:hAnsi="Arial" w:cs="Arial"/>
          <w:i/>
          <w:sz w:val="24"/>
          <w:szCs w:val="24"/>
        </w:rPr>
        <w:t>,</w:t>
      </w:r>
      <w:r w:rsidR="007F2270">
        <w:rPr>
          <w:rFonts w:ascii="Arial" w:hAnsi="Arial" w:cs="Arial"/>
          <w:i/>
          <w:sz w:val="24"/>
          <w:szCs w:val="24"/>
          <w:lang w:val="mk-MK"/>
        </w:rPr>
        <w:t xml:space="preserve"> </w:t>
      </w:r>
      <w:r w:rsidR="007F2270">
        <w:rPr>
          <w:rFonts w:ascii="Arial" w:hAnsi="Arial" w:cs="Arial"/>
          <w:i/>
          <w:sz w:val="24"/>
          <w:szCs w:val="24"/>
        </w:rPr>
        <w:t>especially</w:t>
      </w:r>
      <w:r w:rsidRPr="000F23EE">
        <w:rPr>
          <w:rFonts w:ascii="Arial" w:hAnsi="Arial" w:cs="Arial"/>
          <w:i/>
          <w:sz w:val="24"/>
          <w:szCs w:val="24"/>
        </w:rPr>
        <w:t xml:space="preserve"> for emerging market countries </w:t>
      </w:r>
      <w:r w:rsidR="00EA64BC">
        <w:rPr>
          <w:rFonts w:ascii="Arial" w:hAnsi="Arial" w:cs="Arial"/>
          <w:i/>
          <w:sz w:val="24"/>
          <w:szCs w:val="24"/>
        </w:rPr>
        <w:t>that</w:t>
      </w:r>
      <w:r w:rsidRPr="000F23EE">
        <w:rPr>
          <w:rFonts w:ascii="Arial" w:hAnsi="Arial" w:cs="Arial"/>
          <w:i/>
          <w:sz w:val="24"/>
          <w:szCs w:val="24"/>
        </w:rPr>
        <w:t xml:space="preserve"> emerge from the analysis: (1) pegged exchange-rate regimes are extremely dangerous, (2) strong prudential supervision of the banking system is critical for prevention of financial crises, (3) financial liberalization must be managed extremely carefully and (4) different policies are needed to promote recovery in emerging market countries than those that are applicable to industrialized countries.</w:t>
      </w:r>
      <w:r w:rsidRPr="000F23EE">
        <w:t xml:space="preserve"> </w:t>
      </w:r>
      <w:r w:rsidRPr="000F23EE">
        <w:rPr>
          <w:rFonts w:ascii="Arial" w:hAnsi="Arial" w:cs="Arial"/>
          <w:i/>
          <w:sz w:val="24"/>
          <w:szCs w:val="24"/>
        </w:rPr>
        <w:t xml:space="preserve">Therefore policymakers need, as a very important policy objective, to aim at avoiding such crises, as they are extremely costly to the domestic economy. It is important to stress that Mexican GDP fell by 7% in 1995, </w:t>
      </w:r>
      <w:proofErr w:type="gramStart"/>
      <w:r w:rsidRPr="000F23EE">
        <w:rPr>
          <w:rFonts w:ascii="Arial" w:hAnsi="Arial" w:cs="Arial"/>
          <w:i/>
          <w:sz w:val="24"/>
          <w:szCs w:val="24"/>
        </w:rPr>
        <w:t xml:space="preserve">consumption </w:t>
      </w:r>
      <w:r w:rsidR="001D5FFA">
        <w:rPr>
          <w:rFonts w:ascii="Arial" w:hAnsi="Arial" w:cs="Arial"/>
          <w:i/>
          <w:sz w:val="24"/>
          <w:szCs w:val="24"/>
        </w:rPr>
        <w:t xml:space="preserve"> </w:t>
      </w:r>
      <w:r w:rsidRPr="000F23EE">
        <w:rPr>
          <w:rFonts w:ascii="Arial" w:hAnsi="Arial" w:cs="Arial"/>
          <w:i/>
          <w:sz w:val="24"/>
          <w:szCs w:val="24"/>
        </w:rPr>
        <w:t>declined</w:t>
      </w:r>
      <w:proofErr w:type="gramEnd"/>
      <w:r w:rsidRPr="000F23EE">
        <w:rPr>
          <w:rFonts w:ascii="Arial" w:hAnsi="Arial" w:cs="Arial"/>
          <w:i/>
          <w:sz w:val="24"/>
          <w:szCs w:val="24"/>
        </w:rPr>
        <w:t xml:space="preserve"> by over 17% and investment</w:t>
      </w:r>
      <w:r w:rsidR="001D5FFA">
        <w:rPr>
          <w:rFonts w:ascii="Arial" w:hAnsi="Arial" w:cs="Arial"/>
          <w:i/>
          <w:sz w:val="24"/>
          <w:szCs w:val="24"/>
        </w:rPr>
        <w:t xml:space="preserve"> fell by 30%. </w:t>
      </w:r>
      <w:r w:rsidR="00196898">
        <w:rPr>
          <w:rFonts w:ascii="Arial" w:hAnsi="Arial" w:cs="Arial"/>
          <w:i/>
          <w:sz w:val="24"/>
          <w:szCs w:val="24"/>
        </w:rPr>
        <w:t xml:space="preserve">There is general consensus that fiscal policy was not the main cause of the crisis, at least </w:t>
      </w:r>
      <w:r w:rsidR="005B278A">
        <w:rPr>
          <w:rFonts w:ascii="Arial" w:hAnsi="Arial" w:cs="Arial"/>
          <w:i/>
          <w:sz w:val="24"/>
          <w:szCs w:val="24"/>
        </w:rPr>
        <w:t>in terms of persistent deficit that undermines the peg as the classical model od Krugman (1979). Many defenders of the “overpriced” explanations agree that momentum</w:t>
      </w:r>
      <w:r w:rsidR="007F2270">
        <w:rPr>
          <w:rFonts w:ascii="Arial" w:hAnsi="Arial" w:cs="Arial"/>
          <w:i/>
          <w:sz w:val="24"/>
          <w:szCs w:val="24"/>
        </w:rPr>
        <w:t xml:space="preserve"> </w:t>
      </w:r>
      <w:r w:rsidR="005B278A">
        <w:rPr>
          <w:rFonts w:ascii="Arial" w:hAnsi="Arial" w:cs="Arial"/>
          <w:i/>
          <w:sz w:val="24"/>
          <w:szCs w:val="24"/>
        </w:rPr>
        <w:t xml:space="preserve">was driven by the private sector rather than public sector deficit. </w:t>
      </w:r>
    </w:p>
    <w:p w:rsidR="007F2270" w:rsidRDefault="003D682B" w:rsidP="00361EA2">
      <w:pPr>
        <w:autoSpaceDE w:val="0"/>
        <w:autoSpaceDN w:val="0"/>
        <w:adjustRightInd w:val="0"/>
        <w:spacing w:after="0" w:line="240" w:lineRule="auto"/>
        <w:ind w:firstLine="720"/>
        <w:jc w:val="both"/>
        <w:rPr>
          <w:rFonts w:ascii="Arial" w:hAnsi="Arial" w:cs="Arial"/>
          <w:i/>
          <w:sz w:val="24"/>
          <w:szCs w:val="24"/>
        </w:rPr>
      </w:pPr>
      <w:r w:rsidRPr="00361EA2">
        <w:rPr>
          <w:rFonts w:ascii="Arial" w:hAnsi="Arial" w:cs="Arial"/>
          <w:b/>
          <w:sz w:val="24"/>
          <w:szCs w:val="24"/>
        </w:rPr>
        <w:t>Key words:</w:t>
      </w:r>
      <w:r>
        <w:rPr>
          <w:rFonts w:ascii="Arial" w:hAnsi="Arial" w:cs="Arial"/>
          <w:i/>
          <w:sz w:val="24"/>
          <w:szCs w:val="24"/>
        </w:rPr>
        <w:t xml:space="preserve"> crisis, financial liberalization, fiscal policy, public debt, international financial institutions.</w:t>
      </w:r>
    </w:p>
    <w:p w:rsidR="003D682B" w:rsidRPr="003D682B" w:rsidRDefault="003D682B" w:rsidP="001D5FFA">
      <w:pPr>
        <w:autoSpaceDE w:val="0"/>
        <w:autoSpaceDN w:val="0"/>
        <w:adjustRightInd w:val="0"/>
        <w:spacing w:after="0" w:line="240" w:lineRule="auto"/>
        <w:jc w:val="both"/>
        <w:rPr>
          <w:rFonts w:ascii="Arial" w:hAnsi="Arial" w:cs="Arial"/>
          <w:i/>
          <w:sz w:val="24"/>
          <w:szCs w:val="24"/>
        </w:rPr>
      </w:pPr>
    </w:p>
    <w:p w:rsidR="007F2270" w:rsidRPr="00361EA2" w:rsidRDefault="007F2270" w:rsidP="00361EA2">
      <w:pPr>
        <w:autoSpaceDE w:val="0"/>
        <w:autoSpaceDN w:val="0"/>
        <w:adjustRightInd w:val="0"/>
        <w:spacing w:line="240" w:lineRule="auto"/>
        <w:jc w:val="center"/>
        <w:rPr>
          <w:rFonts w:ascii="Arial" w:hAnsi="Arial" w:cs="Arial"/>
          <w:b/>
          <w:i/>
          <w:sz w:val="24"/>
          <w:szCs w:val="24"/>
          <w:lang w:val="mk-MK"/>
        </w:rPr>
      </w:pPr>
      <w:r w:rsidRPr="00361EA2">
        <w:rPr>
          <w:rFonts w:ascii="Arial" w:hAnsi="Arial" w:cs="Arial"/>
          <w:b/>
          <w:sz w:val="24"/>
          <w:szCs w:val="24"/>
          <w:lang w:val="mk-MK"/>
        </w:rPr>
        <w:t>А</w:t>
      </w:r>
      <w:r w:rsidR="00361EA2" w:rsidRPr="00361EA2">
        <w:rPr>
          <w:rFonts w:ascii="Arial" w:hAnsi="Arial" w:cs="Arial"/>
          <w:b/>
          <w:sz w:val="24"/>
          <w:szCs w:val="24"/>
          <w:lang w:val="mk-MK"/>
        </w:rPr>
        <w:t>п</w:t>
      </w:r>
      <w:r w:rsidRPr="00361EA2">
        <w:rPr>
          <w:rFonts w:ascii="Arial" w:hAnsi="Arial" w:cs="Arial"/>
          <w:b/>
          <w:sz w:val="24"/>
          <w:szCs w:val="24"/>
          <w:lang w:val="mk-MK"/>
        </w:rPr>
        <w:t>стракт</w:t>
      </w:r>
    </w:p>
    <w:p w:rsidR="00CF4E66" w:rsidRDefault="007F2270" w:rsidP="00361EA2">
      <w:pPr>
        <w:autoSpaceDE w:val="0"/>
        <w:autoSpaceDN w:val="0"/>
        <w:adjustRightInd w:val="0"/>
        <w:spacing w:line="240" w:lineRule="auto"/>
        <w:ind w:firstLine="720"/>
        <w:jc w:val="both"/>
        <w:rPr>
          <w:rFonts w:ascii="Arial" w:hAnsi="Arial" w:cs="Arial"/>
          <w:i/>
          <w:sz w:val="24"/>
          <w:szCs w:val="24"/>
        </w:rPr>
      </w:pPr>
      <w:r>
        <w:rPr>
          <w:rFonts w:ascii="Arial" w:hAnsi="Arial" w:cs="Arial"/>
          <w:i/>
          <w:sz w:val="24"/>
          <w:szCs w:val="24"/>
          <w:lang w:val="mk-MK"/>
        </w:rPr>
        <w:t xml:space="preserve">Овој труд </w:t>
      </w:r>
      <w:r w:rsidR="00EA64BC">
        <w:rPr>
          <w:rFonts w:ascii="Arial" w:hAnsi="Arial" w:cs="Arial"/>
          <w:i/>
          <w:sz w:val="24"/>
          <w:szCs w:val="24"/>
          <w:lang w:val="mk-MK"/>
        </w:rPr>
        <w:t>нагласува</w:t>
      </w:r>
      <w:r>
        <w:rPr>
          <w:rFonts w:ascii="Arial" w:hAnsi="Arial" w:cs="Arial"/>
          <w:i/>
          <w:sz w:val="24"/>
          <w:szCs w:val="24"/>
          <w:lang w:val="mk-MK"/>
        </w:rPr>
        <w:t xml:space="preserve"> неколку важни лекции од Текила кризата од 1994 – 1995 </w:t>
      </w:r>
      <w:r w:rsidR="00EA64BC">
        <w:rPr>
          <w:rFonts w:ascii="Arial" w:hAnsi="Arial" w:cs="Arial"/>
          <w:i/>
          <w:sz w:val="24"/>
          <w:szCs w:val="24"/>
          <w:lang w:val="mk-MK"/>
        </w:rPr>
        <w:t>година, особено за земјите во развој</w:t>
      </w:r>
      <w:r w:rsidR="00EA64BC">
        <w:rPr>
          <w:rFonts w:ascii="Arial" w:hAnsi="Arial" w:cs="Arial"/>
          <w:i/>
          <w:sz w:val="24"/>
          <w:szCs w:val="24"/>
        </w:rPr>
        <w:t xml:space="preserve">, </w:t>
      </w:r>
      <w:r w:rsidR="00EA64BC">
        <w:rPr>
          <w:rFonts w:ascii="Arial" w:hAnsi="Arial" w:cs="Arial"/>
          <w:i/>
          <w:sz w:val="24"/>
          <w:szCs w:val="24"/>
          <w:lang w:val="mk-MK"/>
        </w:rPr>
        <w:t>кои произлегуваат од анализата</w:t>
      </w:r>
      <w:r w:rsidR="00EA64BC">
        <w:rPr>
          <w:rFonts w:ascii="Arial" w:hAnsi="Arial" w:cs="Arial"/>
          <w:i/>
          <w:sz w:val="24"/>
          <w:szCs w:val="24"/>
        </w:rPr>
        <w:t xml:space="preserve">: (1) </w:t>
      </w:r>
      <w:r w:rsidR="00EA64BC">
        <w:rPr>
          <w:rFonts w:ascii="Arial" w:hAnsi="Arial" w:cs="Arial"/>
          <w:i/>
          <w:sz w:val="24"/>
          <w:szCs w:val="24"/>
          <w:lang w:val="mk-MK"/>
        </w:rPr>
        <w:t>режимите на врзани номинални девизни курсеви се исклучително опасни</w:t>
      </w:r>
      <w:r w:rsidR="00EA64BC">
        <w:rPr>
          <w:rFonts w:ascii="Arial" w:hAnsi="Arial" w:cs="Arial"/>
          <w:i/>
          <w:sz w:val="24"/>
          <w:szCs w:val="24"/>
        </w:rPr>
        <w:t xml:space="preserve">, (2) </w:t>
      </w:r>
      <w:r w:rsidR="00EA64BC">
        <w:rPr>
          <w:rFonts w:ascii="Arial" w:hAnsi="Arial" w:cs="Arial"/>
          <w:i/>
          <w:sz w:val="24"/>
          <w:szCs w:val="24"/>
          <w:lang w:val="mk-MK"/>
        </w:rPr>
        <w:t>силната прудентна супервизија на банкарскиот систем е од клучно значење за спречување на финансиски кризи</w:t>
      </w:r>
      <w:r w:rsidR="00EA64BC">
        <w:rPr>
          <w:rFonts w:ascii="Arial" w:hAnsi="Arial" w:cs="Arial"/>
          <w:i/>
          <w:sz w:val="24"/>
          <w:szCs w:val="24"/>
        </w:rPr>
        <w:t xml:space="preserve">, (3) </w:t>
      </w:r>
      <w:r w:rsidR="00EA64BC">
        <w:rPr>
          <w:rFonts w:ascii="Arial" w:hAnsi="Arial" w:cs="Arial"/>
          <w:i/>
          <w:sz w:val="24"/>
          <w:szCs w:val="24"/>
          <w:lang w:val="mk-MK"/>
        </w:rPr>
        <w:t xml:space="preserve">финансиската либерализација мора да се управува исклучително внимателно, и (4) различни политики се потребни за да се промовира обновата во земјите во развој и во индустриски развиените земји. Согласно на ова, креаторите на политиките треба, како многу важна политичка цел, да се стремат кон избегнување на такви кризи, бидејќи тие се екстремно скапи за домашната економија. </w:t>
      </w:r>
      <w:r w:rsidR="00F31283">
        <w:rPr>
          <w:rFonts w:ascii="Arial" w:hAnsi="Arial" w:cs="Arial"/>
          <w:i/>
          <w:sz w:val="24"/>
          <w:szCs w:val="24"/>
          <w:lang w:val="mk-MK"/>
        </w:rPr>
        <w:t>Важно е да се напомене дека БДП на Мексико се намали за 7% во 1995 година, потрошувачката се намали за повеќе од 17% и инвестициите паднаа за 30%.</w:t>
      </w:r>
      <w:r w:rsidR="00CF4E66" w:rsidRPr="00CF4E66">
        <w:rPr>
          <w:rFonts w:ascii="Arial" w:hAnsi="Arial" w:cs="Arial"/>
          <w:sz w:val="24"/>
          <w:szCs w:val="24"/>
        </w:rPr>
        <w:t xml:space="preserve"> </w:t>
      </w:r>
      <w:r w:rsidR="00CF4E66" w:rsidRPr="00CF4E66">
        <w:rPr>
          <w:rFonts w:ascii="Arial" w:hAnsi="Arial" w:cs="Arial"/>
          <w:i/>
          <w:sz w:val="24"/>
          <w:szCs w:val="24"/>
        </w:rPr>
        <w:t>Постои генерален консезус дека фискалната политика не беше главна причина на кризата, најмалку во смисла на перзистентен дефицит кој го поткопува фиксниот девизен курс како во класичниот мо</w:t>
      </w:r>
      <w:r w:rsidR="00361EA2">
        <w:rPr>
          <w:rFonts w:ascii="Arial" w:hAnsi="Arial" w:cs="Arial"/>
          <w:i/>
          <w:sz w:val="24"/>
          <w:szCs w:val="24"/>
        </w:rPr>
        <w:t xml:space="preserve">дел на Kругман (1979). </w:t>
      </w:r>
      <w:proofErr w:type="gramStart"/>
      <w:r w:rsidR="00361EA2">
        <w:rPr>
          <w:rFonts w:ascii="Arial" w:hAnsi="Arial" w:cs="Arial"/>
          <w:i/>
          <w:sz w:val="24"/>
          <w:szCs w:val="24"/>
        </w:rPr>
        <w:t>Многу</w:t>
      </w:r>
      <w:r w:rsidR="00361EA2">
        <w:rPr>
          <w:rFonts w:ascii="Arial" w:hAnsi="Arial" w:cs="Arial"/>
          <w:i/>
          <w:sz w:val="24"/>
          <w:szCs w:val="24"/>
          <w:lang w:val="mk-MK"/>
        </w:rPr>
        <w:t xml:space="preserve"> </w:t>
      </w:r>
      <w:r w:rsidR="00CF4E66" w:rsidRPr="00CF4E66">
        <w:rPr>
          <w:rFonts w:ascii="Arial" w:hAnsi="Arial" w:cs="Arial"/>
          <w:i/>
          <w:sz w:val="24"/>
          <w:szCs w:val="24"/>
        </w:rPr>
        <w:t>бранители на “преценетите” објаснувања се сложуваат дека динамиката беше водена од приватниот сектор, а не од дефицитот на јавниот сектор.</w:t>
      </w:r>
      <w:proofErr w:type="gramEnd"/>
    </w:p>
    <w:p w:rsidR="003D682B" w:rsidRPr="003D682B" w:rsidRDefault="003D682B" w:rsidP="00361EA2">
      <w:pPr>
        <w:autoSpaceDE w:val="0"/>
        <w:autoSpaceDN w:val="0"/>
        <w:adjustRightInd w:val="0"/>
        <w:spacing w:line="240" w:lineRule="auto"/>
        <w:ind w:firstLine="720"/>
        <w:jc w:val="both"/>
        <w:rPr>
          <w:rFonts w:ascii="Arial" w:hAnsi="Arial" w:cs="Arial"/>
          <w:i/>
          <w:sz w:val="24"/>
          <w:szCs w:val="24"/>
          <w:lang w:val="mk-MK"/>
        </w:rPr>
      </w:pPr>
      <w:r w:rsidRPr="00361EA2">
        <w:rPr>
          <w:rFonts w:ascii="Arial" w:hAnsi="Arial" w:cs="Arial"/>
          <w:b/>
          <w:i/>
          <w:sz w:val="24"/>
          <w:szCs w:val="24"/>
          <w:lang w:val="mk-MK"/>
        </w:rPr>
        <w:lastRenderedPageBreak/>
        <w:t>Клучни зборови</w:t>
      </w:r>
      <w:r w:rsidRPr="00361EA2">
        <w:rPr>
          <w:rFonts w:ascii="Arial" w:hAnsi="Arial" w:cs="Arial"/>
          <w:b/>
          <w:i/>
          <w:sz w:val="24"/>
          <w:szCs w:val="24"/>
        </w:rPr>
        <w:t>:</w:t>
      </w:r>
      <w:r>
        <w:rPr>
          <w:rFonts w:ascii="Arial" w:hAnsi="Arial" w:cs="Arial"/>
          <w:i/>
          <w:sz w:val="24"/>
          <w:szCs w:val="24"/>
        </w:rPr>
        <w:t xml:space="preserve"> </w:t>
      </w:r>
      <w:r>
        <w:rPr>
          <w:rFonts w:ascii="Arial" w:hAnsi="Arial" w:cs="Arial"/>
          <w:i/>
          <w:sz w:val="24"/>
          <w:szCs w:val="24"/>
          <w:lang w:val="mk-MK"/>
        </w:rPr>
        <w:t>криза, финансиска либерализација, фискална политика, јавен долг, меѓународни финансиски институции.</w:t>
      </w:r>
    </w:p>
    <w:p w:rsidR="00190912" w:rsidRPr="00CF4E66" w:rsidRDefault="00CB2FB6" w:rsidP="00361EA2">
      <w:pPr>
        <w:autoSpaceDE w:val="0"/>
        <w:autoSpaceDN w:val="0"/>
        <w:adjustRightInd w:val="0"/>
        <w:spacing w:line="240" w:lineRule="auto"/>
        <w:jc w:val="center"/>
        <w:rPr>
          <w:rFonts w:ascii="Arial" w:hAnsi="Arial" w:cs="Arial"/>
          <w:i/>
          <w:sz w:val="24"/>
          <w:szCs w:val="24"/>
          <w:lang w:val="mk-MK"/>
        </w:rPr>
      </w:pPr>
      <w:r w:rsidRPr="00361EA2">
        <w:rPr>
          <w:rFonts w:ascii="Arial" w:hAnsi="Arial" w:cs="Arial"/>
          <w:b/>
          <w:sz w:val="24"/>
          <w:szCs w:val="24"/>
          <w:lang w:val="mk-MK"/>
        </w:rPr>
        <w:t>Вовед</w:t>
      </w:r>
    </w:p>
    <w:p w:rsidR="00190912" w:rsidRPr="00190912" w:rsidRDefault="00190912" w:rsidP="00361EA2">
      <w:pPr>
        <w:spacing w:line="240" w:lineRule="auto"/>
        <w:ind w:firstLine="720"/>
        <w:jc w:val="both"/>
        <w:rPr>
          <w:rFonts w:ascii="Arial" w:hAnsi="Arial" w:cs="Arial"/>
          <w:sz w:val="24"/>
          <w:szCs w:val="24"/>
        </w:rPr>
      </w:pPr>
      <w:proofErr w:type="gramStart"/>
      <w:r w:rsidRPr="00190912">
        <w:rPr>
          <w:rFonts w:ascii="Arial" w:hAnsi="Arial" w:cs="Arial"/>
          <w:sz w:val="24"/>
          <w:szCs w:val="24"/>
        </w:rPr>
        <w:t>После “загубената декада” од 1980</w:t>
      </w:r>
      <w:r w:rsidR="00361EA2">
        <w:rPr>
          <w:rFonts w:ascii="Arial" w:hAnsi="Arial" w:cs="Arial"/>
          <w:sz w:val="24"/>
          <w:szCs w:val="24"/>
          <w:lang w:val="mk-MK"/>
        </w:rPr>
        <w:t xml:space="preserve"> </w:t>
      </w:r>
      <w:r w:rsidRPr="00190912">
        <w:rPr>
          <w:rFonts w:ascii="Arial" w:hAnsi="Arial" w:cs="Arial"/>
          <w:sz w:val="24"/>
          <w:szCs w:val="24"/>
        </w:rPr>
        <w:t xml:space="preserve">год, перформансите на Мексико </w:t>
      </w:r>
      <w:r w:rsidR="00361EA2" w:rsidRPr="00190912">
        <w:rPr>
          <w:rFonts w:ascii="Arial" w:hAnsi="Arial" w:cs="Arial"/>
          <w:sz w:val="24"/>
          <w:szCs w:val="24"/>
        </w:rPr>
        <w:t>за време на раните 1990</w:t>
      </w:r>
      <w:r w:rsidR="00361EA2">
        <w:rPr>
          <w:rFonts w:ascii="Arial" w:hAnsi="Arial" w:cs="Arial"/>
          <w:sz w:val="24"/>
          <w:szCs w:val="24"/>
          <w:lang w:val="mk-MK"/>
        </w:rPr>
        <w:t xml:space="preserve"> </w:t>
      </w:r>
      <w:r w:rsidR="00361EA2" w:rsidRPr="00190912">
        <w:rPr>
          <w:rFonts w:ascii="Arial" w:hAnsi="Arial" w:cs="Arial"/>
          <w:sz w:val="24"/>
          <w:szCs w:val="24"/>
        </w:rPr>
        <w:t>год.</w:t>
      </w:r>
      <w:proofErr w:type="gramEnd"/>
      <w:r w:rsidR="00361EA2">
        <w:rPr>
          <w:rFonts w:ascii="Arial" w:hAnsi="Arial" w:cs="Arial"/>
          <w:sz w:val="24"/>
          <w:szCs w:val="24"/>
        </w:rPr>
        <w:t xml:space="preserve"> </w:t>
      </w:r>
      <w:proofErr w:type="gramStart"/>
      <w:r w:rsidRPr="00190912">
        <w:rPr>
          <w:rFonts w:ascii="Arial" w:hAnsi="Arial" w:cs="Arial"/>
          <w:sz w:val="24"/>
          <w:szCs w:val="24"/>
        </w:rPr>
        <w:t>беа</w:t>
      </w:r>
      <w:proofErr w:type="gramEnd"/>
      <w:r w:rsidRPr="00190912">
        <w:rPr>
          <w:rFonts w:ascii="Arial" w:hAnsi="Arial" w:cs="Arial"/>
          <w:sz w:val="24"/>
          <w:szCs w:val="24"/>
        </w:rPr>
        <w:t xml:space="preserve"> генерално импресивни</w:t>
      </w:r>
      <w:r w:rsidR="00361EA2">
        <w:rPr>
          <w:rFonts w:ascii="Arial" w:hAnsi="Arial" w:cs="Arial"/>
          <w:sz w:val="24"/>
          <w:szCs w:val="24"/>
        </w:rPr>
        <w:t>.</w:t>
      </w:r>
      <w:r w:rsidRPr="00190912">
        <w:rPr>
          <w:rFonts w:ascii="Arial" w:hAnsi="Arial" w:cs="Arial"/>
          <w:sz w:val="24"/>
          <w:szCs w:val="24"/>
        </w:rPr>
        <w:t xml:space="preserve"> Ова беше дополнето со Програмата за реформи</w:t>
      </w:r>
      <w:r w:rsidR="00361EA2">
        <w:rPr>
          <w:rFonts w:ascii="Arial" w:hAnsi="Arial" w:cs="Arial"/>
          <w:sz w:val="24"/>
          <w:szCs w:val="24"/>
          <w:lang w:val="mk-MK"/>
        </w:rPr>
        <w:t>,</w:t>
      </w:r>
      <w:r w:rsidRPr="00190912">
        <w:rPr>
          <w:rFonts w:ascii="Arial" w:hAnsi="Arial" w:cs="Arial"/>
          <w:sz w:val="24"/>
          <w:szCs w:val="24"/>
        </w:rPr>
        <w:t xml:space="preserve"> која започна во 1988</w:t>
      </w:r>
      <w:r w:rsidR="00361EA2">
        <w:rPr>
          <w:rFonts w:ascii="Arial" w:hAnsi="Arial" w:cs="Arial"/>
          <w:sz w:val="24"/>
          <w:szCs w:val="24"/>
        </w:rPr>
        <w:t xml:space="preserve"> </w:t>
      </w:r>
      <w:r w:rsidRPr="00190912">
        <w:rPr>
          <w:rFonts w:ascii="Arial" w:hAnsi="Arial" w:cs="Arial"/>
          <w:sz w:val="24"/>
          <w:szCs w:val="24"/>
        </w:rPr>
        <w:t>год</w:t>
      </w:r>
      <w:r w:rsidR="00361EA2">
        <w:rPr>
          <w:rFonts w:ascii="Arial" w:hAnsi="Arial" w:cs="Arial"/>
          <w:sz w:val="24"/>
          <w:szCs w:val="24"/>
        </w:rPr>
        <w:t xml:space="preserve">., со основни елементи, </w:t>
      </w:r>
      <w:r w:rsidR="00361EA2">
        <w:rPr>
          <w:rFonts w:ascii="Arial" w:hAnsi="Arial" w:cs="Arial"/>
          <w:sz w:val="24"/>
          <w:szCs w:val="24"/>
          <w:lang w:val="mk-MK"/>
        </w:rPr>
        <w:t xml:space="preserve">како </w:t>
      </w:r>
      <w:r w:rsidRPr="00190912">
        <w:rPr>
          <w:rFonts w:ascii="Arial" w:hAnsi="Arial" w:cs="Arial"/>
          <w:sz w:val="24"/>
          <w:szCs w:val="24"/>
        </w:rPr>
        <w:t>предодреден</w:t>
      </w:r>
      <w:r w:rsidR="006C0239">
        <w:rPr>
          <w:rFonts w:ascii="Arial" w:hAnsi="Arial" w:cs="Arial"/>
          <w:sz w:val="24"/>
          <w:szCs w:val="24"/>
          <w:lang w:val="mk-MK"/>
        </w:rPr>
        <w:t>ост кон</w:t>
      </w:r>
      <w:r w:rsidR="006C0239">
        <w:rPr>
          <w:rFonts w:ascii="Arial" w:hAnsi="Arial" w:cs="Arial"/>
          <w:sz w:val="24"/>
          <w:szCs w:val="24"/>
        </w:rPr>
        <w:t xml:space="preserve"> врзан номинален девиз</w:t>
      </w:r>
      <w:r w:rsidR="006C0239">
        <w:rPr>
          <w:rFonts w:ascii="Arial" w:hAnsi="Arial" w:cs="Arial"/>
          <w:sz w:val="24"/>
          <w:szCs w:val="24"/>
          <w:lang w:val="mk-MK"/>
        </w:rPr>
        <w:t>ен</w:t>
      </w:r>
      <w:r w:rsidRPr="00190912">
        <w:rPr>
          <w:rFonts w:ascii="Arial" w:hAnsi="Arial" w:cs="Arial"/>
          <w:sz w:val="24"/>
          <w:szCs w:val="24"/>
        </w:rPr>
        <w:t xml:space="preserve"> курс, широка приватиз</w:t>
      </w:r>
      <w:r w:rsidR="006C0239">
        <w:rPr>
          <w:rFonts w:ascii="Arial" w:hAnsi="Arial" w:cs="Arial"/>
          <w:sz w:val="24"/>
          <w:szCs w:val="24"/>
        </w:rPr>
        <w:t>ација и дерегулација, отворање на меѓународна</w:t>
      </w:r>
      <w:r w:rsidRPr="00190912">
        <w:rPr>
          <w:rFonts w:ascii="Arial" w:hAnsi="Arial" w:cs="Arial"/>
          <w:sz w:val="24"/>
          <w:szCs w:val="24"/>
        </w:rPr>
        <w:t xml:space="preserve"> конкуренција и широк социјален и економски договор за плати, клучни цени и девизен курс </w:t>
      </w:r>
      <w:r w:rsidRPr="006C0239">
        <w:rPr>
          <w:rFonts w:ascii="Arial" w:hAnsi="Arial" w:cs="Arial"/>
          <w:b/>
          <w:sz w:val="24"/>
          <w:szCs w:val="24"/>
        </w:rPr>
        <w:t>(</w:t>
      </w:r>
      <w:r w:rsidRPr="006C0239">
        <w:rPr>
          <w:rFonts w:ascii="Arial" w:hAnsi="Arial" w:cs="Arial"/>
          <w:b/>
          <w:i/>
          <w:sz w:val="24"/>
          <w:szCs w:val="24"/>
        </w:rPr>
        <w:t>the Pacto</w:t>
      </w:r>
      <w:r w:rsidRPr="006C0239">
        <w:rPr>
          <w:rFonts w:ascii="Arial" w:hAnsi="Arial" w:cs="Arial"/>
          <w:b/>
          <w:sz w:val="24"/>
          <w:szCs w:val="24"/>
        </w:rPr>
        <w:t>)</w:t>
      </w:r>
      <w:r w:rsidRPr="00190912">
        <w:rPr>
          <w:rFonts w:ascii="Arial" w:hAnsi="Arial" w:cs="Arial"/>
          <w:sz w:val="24"/>
          <w:szCs w:val="24"/>
        </w:rPr>
        <w:t xml:space="preserve">. </w:t>
      </w:r>
      <w:proofErr w:type="gramStart"/>
      <w:r w:rsidRPr="00190912">
        <w:rPr>
          <w:rFonts w:ascii="Arial" w:hAnsi="Arial" w:cs="Arial"/>
          <w:sz w:val="24"/>
          <w:szCs w:val="24"/>
        </w:rPr>
        <w:t xml:space="preserve">Фискалната позиција </w:t>
      </w:r>
      <w:r w:rsidR="006C0239" w:rsidRPr="00190912">
        <w:rPr>
          <w:rFonts w:ascii="Arial" w:hAnsi="Arial" w:cs="Arial"/>
          <w:sz w:val="24"/>
          <w:szCs w:val="24"/>
        </w:rPr>
        <w:t xml:space="preserve">значително </w:t>
      </w:r>
      <w:r w:rsidRPr="00190912">
        <w:rPr>
          <w:rFonts w:ascii="Arial" w:hAnsi="Arial" w:cs="Arial"/>
          <w:sz w:val="24"/>
          <w:szCs w:val="24"/>
        </w:rPr>
        <w:t>се подобри</w:t>
      </w:r>
      <w:r w:rsidR="00361EA2">
        <w:rPr>
          <w:rFonts w:ascii="Arial" w:hAnsi="Arial" w:cs="Arial"/>
          <w:sz w:val="24"/>
          <w:szCs w:val="24"/>
          <w:lang w:val="mk-MK"/>
        </w:rPr>
        <w:t>,</w:t>
      </w:r>
      <w:r w:rsidRPr="00190912">
        <w:rPr>
          <w:rFonts w:ascii="Arial" w:hAnsi="Arial" w:cs="Arial"/>
          <w:sz w:val="24"/>
          <w:szCs w:val="24"/>
        </w:rPr>
        <w:t xml:space="preserve"> </w:t>
      </w:r>
      <w:r w:rsidR="00361EA2">
        <w:rPr>
          <w:rFonts w:ascii="Arial" w:hAnsi="Arial" w:cs="Arial"/>
          <w:sz w:val="24"/>
          <w:szCs w:val="24"/>
          <w:lang w:val="mk-MK"/>
        </w:rPr>
        <w:t>а</w:t>
      </w:r>
      <w:r w:rsidRPr="00190912">
        <w:rPr>
          <w:rFonts w:ascii="Arial" w:hAnsi="Arial" w:cs="Arial"/>
          <w:sz w:val="24"/>
          <w:szCs w:val="24"/>
        </w:rPr>
        <w:t xml:space="preserve"> вкупниот биланс се постигна во 1992</w:t>
      </w:r>
      <w:r w:rsidR="00361EA2">
        <w:rPr>
          <w:rFonts w:ascii="Arial" w:hAnsi="Arial" w:cs="Arial"/>
          <w:sz w:val="24"/>
          <w:szCs w:val="24"/>
          <w:lang w:val="mk-MK"/>
        </w:rPr>
        <w:t xml:space="preserve"> </w:t>
      </w:r>
      <w:r w:rsidR="00361EA2">
        <w:rPr>
          <w:rFonts w:ascii="Arial" w:hAnsi="Arial" w:cs="Arial"/>
          <w:sz w:val="24"/>
          <w:szCs w:val="24"/>
        </w:rPr>
        <w:t>год</w:t>
      </w:r>
      <w:r w:rsidR="00361EA2">
        <w:rPr>
          <w:rFonts w:ascii="Arial" w:hAnsi="Arial" w:cs="Arial"/>
          <w:sz w:val="24"/>
          <w:szCs w:val="24"/>
          <w:lang w:val="mk-MK"/>
        </w:rPr>
        <w:t>.</w:t>
      </w:r>
      <w:proofErr w:type="gramEnd"/>
      <w:r w:rsidR="00361EA2">
        <w:rPr>
          <w:rFonts w:ascii="Arial" w:hAnsi="Arial" w:cs="Arial"/>
          <w:sz w:val="24"/>
          <w:szCs w:val="24"/>
          <w:lang w:val="mk-MK"/>
        </w:rPr>
        <w:t xml:space="preserve"> </w:t>
      </w:r>
      <w:proofErr w:type="gramStart"/>
      <w:r w:rsidRPr="00190912">
        <w:rPr>
          <w:rFonts w:ascii="Arial" w:hAnsi="Arial" w:cs="Arial"/>
          <w:sz w:val="24"/>
          <w:szCs w:val="24"/>
        </w:rPr>
        <w:t>споредено</w:t>
      </w:r>
      <w:proofErr w:type="gramEnd"/>
      <w:r w:rsidRPr="00190912">
        <w:rPr>
          <w:rFonts w:ascii="Arial" w:hAnsi="Arial" w:cs="Arial"/>
          <w:sz w:val="24"/>
          <w:szCs w:val="24"/>
        </w:rPr>
        <w:t xml:space="preserve"> со дефицит од околу 12% од БДП во 1987</w:t>
      </w:r>
      <w:r w:rsidR="00361EA2">
        <w:rPr>
          <w:rFonts w:ascii="Arial" w:hAnsi="Arial" w:cs="Arial"/>
          <w:sz w:val="24"/>
          <w:szCs w:val="24"/>
          <w:lang w:val="mk-MK"/>
        </w:rPr>
        <w:t xml:space="preserve"> </w:t>
      </w:r>
      <w:r w:rsidRPr="00190912">
        <w:rPr>
          <w:rFonts w:ascii="Arial" w:hAnsi="Arial" w:cs="Arial"/>
          <w:sz w:val="24"/>
          <w:szCs w:val="24"/>
        </w:rPr>
        <w:t xml:space="preserve">год. </w:t>
      </w:r>
      <w:proofErr w:type="gramStart"/>
      <w:r w:rsidRPr="00190912">
        <w:rPr>
          <w:rFonts w:ascii="Arial" w:hAnsi="Arial" w:cs="Arial"/>
          <w:sz w:val="24"/>
          <w:szCs w:val="24"/>
        </w:rPr>
        <w:t>Инфлацијата падна од 160% во 1987</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proofErr w:type="gramEnd"/>
      <w:r w:rsidRPr="00190912">
        <w:rPr>
          <w:rFonts w:ascii="Arial" w:hAnsi="Arial" w:cs="Arial"/>
          <w:sz w:val="24"/>
          <w:szCs w:val="24"/>
        </w:rPr>
        <w:t xml:space="preserve"> </w:t>
      </w:r>
      <w:proofErr w:type="gramStart"/>
      <w:r w:rsidRPr="00190912">
        <w:rPr>
          <w:rFonts w:ascii="Arial" w:hAnsi="Arial" w:cs="Arial"/>
          <w:sz w:val="24"/>
          <w:szCs w:val="24"/>
        </w:rPr>
        <w:t>на</w:t>
      </w:r>
      <w:proofErr w:type="gramEnd"/>
      <w:r w:rsidRPr="00190912">
        <w:rPr>
          <w:rFonts w:ascii="Arial" w:hAnsi="Arial" w:cs="Arial"/>
          <w:sz w:val="24"/>
          <w:szCs w:val="24"/>
        </w:rPr>
        <w:t xml:space="preserve"> едноцифрена бројка во 1993</w:t>
      </w:r>
      <w:r w:rsidR="00361EA2">
        <w:rPr>
          <w:rFonts w:ascii="Arial" w:hAnsi="Arial" w:cs="Arial"/>
          <w:sz w:val="24"/>
          <w:szCs w:val="24"/>
          <w:lang w:val="mk-MK"/>
        </w:rPr>
        <w:t xml:space="preserve"> </w:t>
      </w:r>
      <w:r w:rsidRPr="00190912">
        <w:rPr>
          <w:rFonts w:ascii="Arial" w:hAnsi="Arial" w:cs="Arial"/>
          <w:sz w:val="24"/>
          <w:szCs w:val="24"/>
        </w:rPr>
        <w:t>год. Реалниот раст се зголеми, движејќи се просечно околу 2</w:t>
      </w:r>
      <w:proofErr w:type="gramStart"/>
      <w:r w:rsidRPr="00190912">
        <w:rPr>
          <w:rFonts w:ascii="Arial" w:hAnsi="Arial" w:cs="Arial"/>
          <w:sz w:val="24"/>
          <w:szCs w:val="24"/>
        </w:rPr>
        <w:t>,8</w:t>
      </w:r>
      <w:proofErr w:type="gramEnd"/>
      <w:r w:rsidRPr="00190912">
        <w:rPr>
          <w:rFonts w:ascii="Arial" w:hAnsi="Arial" w:cs="Arial"/>
          <w:sz w:val="24"/>
          <w:szCs w:val="24"/>
        </w:rPr>
        <w:t>% помеѓу 1988</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xml:space="preserve"> </w:t>
      </w:r>
      <w:proofErr w:type="gramStart"/>
      <w:r w:rsidRPr="00190912">
        <w:rPr>
          <w:rFonts w:ascii="Arial" w:hAnsi="Arial" w:cs="Arial"/>
          <w:sz w:val="24"/>
          <w:szCs w:val="24"/>
        </w:rPr>
        <w:t>и</w:t>
      </w:r>
      <w:proofErr w:type="gramEnd"/>
      <w:r w:rsidRPr="00190912">
        <w:rPr>
          <w:rFonts w:ascii="Arial" w:hAnsi="Arial" w:cs="Arial"/>
          <w:sz w:val="24"/>
          <w:szCs w:val="24"/>
        </w:rPr>
        <w:t xml:space="preserve"> 1994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иако варираше значително од година на година и беше во просек под оние стапки на раст на соседните земји како Чиле</w:t>
      </w:r>
      <w:r w:rsidR="001518C9">
        <w:rPr>
          <w:rFonts w:ascii="Arial" w:hAnsi="Arial" w:cs="Arial"/>
          <w:sz w:val="24"/>
          <w:szCs w:val="24"/>
        </w:rPr>
        <w:t xml:space="preserve"> (7,1%)</w:t>
      </w:r>
      <w:r w:rsidRPr="00190912">
        <w:rPr>
          <w:rFonts w:ascii="Arial" w:hAnsi="Arial" w:cs="Arial"/>
          <w:sz w:val="24"/>
          <w:szCs w:val="24"/>
        </w:rPr>
        <w:t xml:space="preserve"> и Колумбија</w:t>
      </w:r>
      <w:r w:rsidR="001518C9">
        <w:rPr>
          <w:rFonts w:ascii="Arial" w:hAnsi="Arial" w:cs="Arial"/>
          <w:sz w:val="24"/>
          <w:szCs w:val="24"/>
        </w:rPr>
        <w:t xml:space="preserve"> (4,1%)</w:t>
      </w:r>
      <w:r w:rsidRPr="00190912">
        <w:rPr>
          <w:rFonts w:ascii="Arial" w:hAnsi="Arial" w:cs="Arial"/>
          <w:sz w:val="24"/>
          <w:szCs w:val="24"/>
        </w:rPr>
        <w:t>. Во тоа време имаше</w:t>
      </w:r>
      <w:r w:rsidR="006C0239">
        <w:rPr>
          <w:rFonts w:ascii="Arial" w:hAnsi="Arial" w:cs="Arial"/>
          <w:sz w:val="24"/>
          <w:szCs w:val="24"/>
        </w:rPr>
        <w:t xml:space="preserve"> значителни капитални приливи (</w:t>
      </w:r>
      <w:r w:rsidR="00361EA2">
        <w:rPr>
          <w:rFonts w:ascii="Arial" w:hAnsi="Arial" w:cs="Arial"/>
          <w:sz w:val="24"/>
          <w:szCs w:val="24"/>
        </w:rPr>
        <w:t>6</w:t>
      </w:r>
      <w:r w:rsidRPr="00190912">
        <w:rPr>
          <w:rFonts w:ascii="Arial" w:hAnsi="Arial" w:cs="Arial"/>
          <w:sz w:val="24"/>
          <w:szCs w:val="24"/>
        </w:rPr>
        <w:t>% од БДП во 1993</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грубо 1/3 од сите текови кон развиените земји и краткорочни по својот карактер), што резултираше во зголемување на резервите, реална апресијација на девизниот курс и растечки дефицит на тековната сметка (3% од БДП во 1989год на 7% од БДП во 1993год).</w:t>
      </w:r>
    </w:p>
    <w:p w:rsidR="00190912" w:rsidRPr="00361EA2" w:rsidRDefault="00190912" w:rsidP="00361EA2">
      <w:pPr>
        <w:pStyle w:val="ListParagraph"/>
        <w:numPr>
          <w:ilvl w:val="0"/>
          <w:numId w:val="3"/>
        </w:numPr>
        <w:spacing w:line="240" w:lineRule="auto"/>
        <w:jc w:val="center"/>
        <w:rPr>
          <w:rFonts w:ascii="Arial" w:hAnsi="Arial" w:cs="Arial"/>
          <w:b/>
          <w:szCs w:val="24"/>
        </w:rPr>
      </w:pPr>
      <w:r w:rsidRPr="00361EA2">
        <w:rPr>
          <w:rFonts w:ascii="Arial" w:hAnsi="Arial" w:cs="Arial"/>
          <w:b/>
          <w:szCs w:val="24"/>
        </w:rPr>
        <w:t>Како се манифестираше кризата?</w:t>
      </w:r>
    </w:p>
    <w:p w:rsidR="00190912" w:rsidRPr="00190912" w:rsidRDefault="00190912" w:rsidP="00190912">
      <w:pPr>
        <w:spacing w:line="240" w:lineRule="auto"/>
        <w:jc w:val="both"/>
        <w:rPr>
          <w:rFonts w:ascii="Arial" w:hAnsi="Arial" w:cs="Arial"/>
          <w:sz w:val="24"/>
          <w:szCs w:val="24"/>
        </w:rPr>
      </w:pPr>
      <w:r w:rsidRPr="00190912">
        <w:rPr>
          <w:rFonts w:ascii="Arial" w:hAnsi="Arial" w:cs="Arial"/>
          <w:sz w:val="24"/>
          <w:szCs w:val="24"/>
        </w:rPr>
        <w:tab/>
      </w:r>
      <w:proofErr w:type="gramStart"/>
      <w:r w:rsidRPr="00190912">
        <w:rPr>
          <w:rFonts w:ascii="Arial" w:hAnsi="Arial" w:cs="Arial"/>
          <w:sz w:val="24"/>
          <w:szCs w:val="24"/>
        </w:rPr>
        <w:t>Капиталните одливи и притисоците на девизниот курс се појавија во 1994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proofErr w:type="gramEnd"/>
      <w:r w:rsidRPr="00190912">
        <w:rPr>
          <w:rFonts w:ascii="Arial" w:hAnsi="Arial" w:cs="Arial"/>
          <w:sz w:val="24"/>
          <w:szCs w:val="24"/>
        </w:rPr>
        <w:t xml:space="preserve"> како последица на </w:t>
      </w:r>
      <w:r w:rsidRPr="006C0239">
        <w:rPr>
          <w:rFonts w:ascii="Arial" w:hAnsi="Arial" w:cs="Arial"/>
          <w:b/>
          <w:i/>
          <w:sz w:val="24"/>
          <w:szCs w:val="24"/>
        </w:rPr>
        <w:t>политичкиот шок</w:t>
      </w:r>
      <w:r w:rsidRPr="00190912">
        <w:rPr>
          <w:rFonts w:ascii="Arial" w:hAnsi="Arial" w:cs="Arial"/>
          <w:sz w:val="24"/>
          <w:szCs w:val="24"/>
        </w:rPr>
        <w:t xml:space="preserve"> (востанието на Чијапас и атентатот врз претседателскиот кандидат на PRI) и порастот на каматните стапки во САД. Девизниот курс депрецираше, покрај интервенциите кои ги зголемија каматните стапки двојно</w:t>
      </w:r>
      <w:r w:rsidR="00361EA2">
        <w:rPr>
          <w:rFonts w:ascii="Arial" w:hAnsi="Arial" w:cs="Arial"/>
          <w:sz w:val="24"/>
          <w:szCs w:val="24"/>
          <w:lang w:val="mk-MK"/>
        </w:rPr>
        <w:t>,</w:t>
      </w:r>
      <w:r w:rsidRPr="00190912">
        <w:rPr>
          <w:rFonts w:ascii="Arial" w:hAnsi="Arial" w:cs="Arial"/>
          <w:sz w:val="24"/>
          <w:szCs w:val="24"/>
        </w:rPr>
        <w:t xml:space="preserve"> од 9% на 18%. </w:t>
      </w:r>
      <w:proofErr w:type="gramStart"/>
      <w:r w:rsidRPr="00190912">
        <w:rPr>
          <w:rFonts w:ascii="Arial" w:hAnsi="Arial" w:cs="Arial"/>
          <w:sz w:val="24"/>
          <w:szCs w:val="24"/>
        </w:rPr>
        <w:t xml:space="preserve">Со оглед на тоа дека авторитетите не сакаа да дозволат раст на каматните стапки во изборната година, стапките на домашните државни записи </w:t>
      </w:r>
      <w:r w:rsidRPr="006C0239">
        <w:rPr>
          <w:rFonts w:ascii="Arial" w:hAnsi="Arial" w:cs="Arial"/>
          <w:b/>
          <w:sz w:val="24"/>
          <w:szCs w:val="24"/>
        </w:rPr>
        <w:t>(Cetes)</w:t>
      </w:r>
      <w:r w:rsidRPr="00190912">
        <w:rPr>
          <w:rFonts w:ascii="Arial" w:hAnsi="Arial" w:cs="Arial"/>
          <w:sz w:val="24"/>
          <w:szCs w:val="24"/>
        </w:rPr>
        <w:t xml:space="preserve"> беа лимитирани и се емитуваа зголемени износи на долг деноминиран во долари </w:t>
      </w:r>
      <w:r w:rsidRPr="006C0239">
        <w:rPr>
          <w:rFonts w:ascii="Arial" w:hAnsi="Arial" w:cs="Arial"/>
          <w:b/>
          <w:sz w:val="24"/>
          <w:szCs w:val="24"/>
        </w:rPr>
        <w:t>(Tesobonos)</w:t>
      </w:r>
      <w:r w:rsidRPr="00190912">
        <w:rPr>
          <w:rFonts w:ascii="Arial" w:hAnsi="Arial" w:cs="Arial"/>
          <w:sz w:val="24"/>
          <w:szCs w:val="24"/>
        </w:rPr>
        <w:t>.</w:t>
      </w:r>
      <w:proofErr w:type="gramEnd"/>
      <w:r w:rsidR="00170F10">
        <w:rPr>
          <w:rStyle w:val="FootnoteReference"/>
          <w:rFonts w:ascii="Arial" w:hAnsi="Arial" w:cs="Arial"/>
          <w:sz w:val="24"/>
          <w:szCs w:val="24"/>
        </w:rPr>
        <w:footnoteReference w:id="1"/>
      </w:r>
      <w:r w:rsidR="00361EA2">
        <w:rPr>
          <w:rFonts w:ascii="Arial" w:hAnsi="Arial" w:cs="Arial"/>
          <w:sz w:val="24"/>
          <w:szCs w:val="24"/>
          <w:lang w:val="mk-MK"/>
        </w:rPr>
        <w:t xml:space="preserve"> </w:t>
      </w:r>
      <w:proofErr w:type="gramStart"/>
      <w:r w:rsidRPr="00190912">
        <w:rPr>
          <w:rFonts w:ascii="Arial" w:hAnsi="Arial" w:cs="Arial"/>
          <w:sz w:val="24"/>
          <w:szCs w:val="24"/>
        </w:rPr>
        <w:t>Исто така, загубите на резерви беа стерилизирани и домашното кредитирање се зголеми брзо.</w:t>
      </w:r>
      <w:proofErr w:type="gramEnd"/>
      <w:r w:rsidRPr="00190912">
        <w:rPr>
          <w:rFonts w:ascii="Arial" w:hAnsi="Arial" w:cs="Arial"/>
          <w:sz w:val="24"/>
          <w:szCs w:val="24"/>
        </w:rPr>
        <w:t xml:space="preserve"> </w:t>
      </w:r>
      <w:proofErr w:type="gramStart"/>
      <w:r w:rsidRPr="00190912">
        <w:rPr>
          <w:rFonts w:ascii="Arial" w:hAnsi="Arial" w:cs="Arial"/>
          <w:sz w:val="24"/>
          <w:szCs w:val="24"/>
        </w:rPr>
        <w:t>Довербат</w:t>
      </w:r>
      <w:r w:rsidR="00361EA2">
        <w:rPr>
          <w:rFonts w:ascii="Arial" w:hAnsi="Arial" w:cs="Arial"/>
          <w:sz w:val="24"/>
          <w:szCs w:val="24"/>
        </w:rPr>
        <w:t>а на инвеститорите се поврати</w:t>
      </w:r>
      <w:r w:rsidR="00361EA2">
        <w:rPr>
          <w:rFonts w:ascii="Arial" w:hAnsi="Arial" w:cs="Arial"/>
          <w:sz w:val="24"/>
          <w:szCs w:val="24"/>
          <w:lang w:val="mk-MK"/>
        </w:rPr>
        <w:t>,</w:t>
      </w:r>
      <w:r w:rsidRPr="00190912">
        <w:rPr>
          <w:rFonts w:ascii="Arial" w:hAnsi="Arial" w:cs="Arial"/>
          <w:sz w:val="24"/>
          <w:szCs w:val="24"/>
        </w:rPr>
        <w:t xml:space="preserve"> додека понатамошните политички немири во </w:t>
      </w:r>
      <w:r w:rsidRPr="006C0239">
        <w:rPr>
          <w:rFonts w:ascii="Arial" w:hAnsi="Arial" w:cs="Arial"/>
          <w:b/>
          <w:i/>
          <w:sz w:val="24"/>
          <w:szCs w:val="24"/>
        </w:rPr>
        <w:t>октомври доведоа до пад на берзата и продолжување на капиталните одливи од земјата.</w:t>
      </w:r>
      <w:proofErr w:type="gramEnd"/>
      <w:r w:rsidRPr="00190912">
        <w:rPr>
          <w:rFonts w:ascii="Arial" w:hAnsi="Arial" w:cs="Arial"/>
          <w:sz w:val="24"/>
          <w:szCs w:val="24"/>
        </w:rPr>
        <w:t xml:space="preserve"> </w:t>
      </w:r>
      <w:proofErr w:type="gramStart"/>
      <w:r w:rsidRPr="00190912">
        <w:rPr>
          <w:rFonts w:ascii="Arial" w:hAnsi="Arial" w:cs="Arial"/>
          <w:sz w:val="24"/>
          <w:szCs w:val="24"/>
        </w:rPr>
        <w:t>Монетарната полтика не беше затегната и до средината на ноември резервите беа многу помали отколку јавниот краткорочен долг.</w:t>
      </w:r>
      <w:proofErr w:type="gramEnd"/>
      <w:r w:rsidRPr="00190912">
        <w:rPr>
          <w:rFonts w:ascii="Arial" w:hAnsi="Arial" w:cs="Arial"/>
          <w:sz w:val="24"/>
          <w:szCs w:val="24"/>
        </w:rPr>
        <w:t xml:space="preserve"> </w:t>
      </w:r>
      <w:proofErr w:type="gramStart"/>
      <w:r w:rsidRPr="00190912">
        <w:rPr>
          <w:rFonts w:ascii="Arial" w:hAnsi="Arial" w:cs="Arial"/>
          <w:sz w:val="24"/>
          <w:szCs w:val="24"/>
        </w:rPr>
        <w:t>Каматните стапки</w:t>
      </w:r>
      <w:r w:rsidR="00361EA2">
        <w:rPr>
          <w:rFonts w:ascii="Arial" w:hAnsi="Arial" w:cs="Arial"/>
          <w:sz w:val="24"/>
          <w:szCs w:val="24"/>
          <w:lang w:val="mk-MK"/>
        </w:rPr>
        <w:t>,</w:t>
      </w:r>
      <w:r w:rsidRPr="00190912">
        <w:rPr>
          <w:rFonts w:ascii="Arial" w:hAnsi="Arial" w:cs="Arial"/>
          <w:sz w:val="24"/>
          <w:szCs w:val="24"/>
        </w:rPr>
        <w:t xml:space="preserve"> најверојатно</w:t>
      </w:r>
      <w:r w:rsidR="00361EA2">
        <w:rPr>
          <w:rFonts w:ascii="Arial" w:hAnsi="Arial" w:cs="Arial"/>
          <w:sz w:val="24"/>
          <w:szCs w:val="24"/>
          <w:lang w:val="mk-MK"/>
        </w:rPr>
        <w:t>,</w:t>
      </w:r>
      <w:r w:rsidRPr="00190912">
        <w:rPr>
          <w:rFonts w:ascii="Arial" w:hAnsi="Arial" w:cs="Arial"/>
          <w:sz w:val="24"/>
          <w:szCs w:val="24"/>
        </w:rPr>
        <w:t xml:space="preserve"> се овозможи да се зголемат во средината на декември, но одливите продолжија со резерви намалени под 6</w:t>
      </w:r>
      <w:r w:rsidR="00361EA2">
        <w:rPr>
          <w:rFonts w:ascii="Arial" w:hAnsi="Arial" w:cs="Arial"/>
          <w:sz w:val="24"/>
          <w:szCs w:val="24"/>
          <w:lang w:val="mk-MK"/>
        </w:rPr>
        <w:t xml:space="preserve"> </w:t>
      </w:r>
      <w:r w:rsidRPr="00190912">
        <w:rPr>
          <w:rFonts w:ascii="Arial" w:hAnsi="Arial" w:cs="Arial"/>
          <w:sz w:val="24"/>
          <w:szCs w:val="24"/>
        </w:rPr>
        <w:t xml:space="preserve">милиони долари и </w:t>
      </w:r>
      <w:r w:rsidRPr="006C0239">
        <w:rPr>
          <w:rFonts w:ascii="Arial" w:hAnsi="Arial" w:cs="Arial"/>
          <w:b/>
          <w:i/>
          <w:sz w:val="24"/>
          <w:szCs w:val="24"/>
        </w:rPr>
        <w:t>валутата започна да флотира (флуктуира) во декември.</w:t>
      </w:r>
      <w:proofErr w:type="gramEnd"/>
      <w:r w:rsidR="00170F10">
        <w:rPr>
          <w:rStyle w:val="FootnoteReference"/>
          <w:rFonts w:ascii="Arial" w:hAnsi="Arial" w:cs="Arial"/>
          <w:b/>
          <w:i/>
          <w:sz w:val="24"/>
          <w:szCs w:val="24"/>
        </w:rPr>
        <w:footnoteReference w:id="2"/>
      </w:r>
      <w:r w:rsidRPr="00190912">
        <w:rPr>
          <w:rFonts w:ascii="Arial" w:hAnsi="Arial" w:cs="Arial"/>
          <w:sz w:val="24"/>
          <w:szCs w:val="24"/>
        </w:rPr>
        <w:t xml:space="preserve"> </w:t>
      </w:r>
      <w:proofErr w:type="gramStart"/>
      <w:r w:rsidRPr="00190912">
        <w:rPr>
          <w:rFonts w:ascii="Arial" w:hAnsi="Arial" w:cs="Arial"/>
          <w:sz w:val="24"/>
          <w:szCs w:val="24"/>
        </w:rPr>
        <w:t>Валутата опадна кога инвеститорите започнаа да се сомневаат во способноста на мексичката влада да ги сервисира своите краткорочни доларски обврски.</w:t>
      </w:r>
      <w:proofErr w:type="gramEnd"/>
      <w:r w:rsidRPr="00190912">
        <w:rPr>
          <w:rFonts w:ascii="Arial" w:hAnsi="Arial" w:cs="Arial"/>
          <w:sz w:val="24"/>
          <w:szCs w:val="24"/>
        </w:rPr>
        <w:t xml:space="preserve"> </w:t>
      </w:r>
      <w:r w:rsidR="00361EA2">
        <w:rPr>
          <w:rFonts w:ascii="Arial" w:hAnsi="Arial" w:cs="Arial"/>
          <w:b/>
          <w:sz w:val="24"/>
          <w:szCs w:val="24"/>
        </w:rPr>
        <w:t>Првич</w:t>
      </w:r>
      <w:r w:rsidRPr="00190912">
        <w:rPr>
          <w:rFonts w:ascii="Arial" w:hAnsi="Arial" w:cs="Arial"/>
          <w:b/>
          <w:sz w:val="24"/>
          <w:szCs w:val="24"/>
        </w:rPr>
        <w:t>н</w:t>
      </w:r>
      <w:r w:rsidR="00361EA2">
        <w:rPr>
          <w:rFonts w:ascii="Arial" w:hAnsi="Arial" w:cs="Arial"/>
          <w:b/>
          <w:sz w:val="24"/>
          <w:szCs w:val="24"/>
          <w:lang w:val="mk-MK"/>
        </w:rPr>
        <w:t>иот</w:t>
      </w:r>
      <w:r w:rsidRPr="00190912">
        <w:rPr>
          <w:rFonts w:ascii="Arial" w:hAnsi="Arial" w:cs="Arial"/>
          <w:b/>
          <w:sz w:val="24"/>
          <w:szCs w:val="24"/>
        </w:rPr>
        <w:t xml:space="preserve"> меѓународен пакет за спасување од 18,5 билиони долари</w:t>
      </w:r>
      <w:r w:rsidRPr="00190912">
        <w:rPr>
          <w:rFonts w:ascii="Arial" w:hAnsi="Arial" w:cs="Arial"/>
          <w:sz w:val="24"/>
          <w:szCs w:val="24"/>
        </w:rPr>
        <w:t xml:space="preserve"> се покажа нед</w:t>
      </w:r>
      <w:r w:rsidR="00361EA2">
        <w:rPr>
          <w:rFonts w:ascii="Arial" w:hAnsi="Arial" w:cs="Arial"/>
          <w:sz w:val="24"/>
          <w:szCs w:val="24"/>
        </w:rPr>
        <w:t xml:space="preserve">оволен </w:t>
      </w:r>
      <w:r w:rsidR="00361EA2">
        <w:rPr>
          <w:rFonts w:ascii="Arial" w:hAnsi="Arial" w:cs="Arial"/>
          <w:sz w:val="24"/>
          <w:szCs w:val="24"/>
        </w:rPr>
        <w:lastRenderedPageBreak/>
        <w:t>да ја поврати довербата</w:t>
      </w:r>
      <w:r w:rsidR="00361EA2">
        <w:rPr>
          <w:rFonts w:ascii="Arial" w:hAnsi="Arial" w:cs="Arial"/>
          <w:sz w:val="24"/>
          <w:szCs w:val="24"/>
          <w:lang w:val="mk-MK"/>
        </w:rPr>
        <w:t>, при што</w:t>
      </w:r>
      <w:r w:rsidRPr="00190912">
        <w:rPr>
          <w:rFonts w:ascii="Arial" w:hAnsi="Arial" w:cs="Arial"/>
          <w:sz w:val="24"/>
          <w:szCs w:val="24"/>
        </w:rPr>
        <w:t xml:space="preserve"> ситуацијата се влоши до работ на неисполнување на обврските</w:t>
      </w:r>
      <w:r w:rsidR="00361EA2">
        <w:rPr>
          <w:rFonts w:ascii="Arial" w:hAnsi="Arial" w:cs="Arial"/>
          <w:sz w:val="24"/>
          <w:szCs w:val="24"/>
          <w:lang w:val="mk-MK"/>
        </w:rPr>
        <w:t>,</w:t>
      </w:r>
      <w:r w:rsidR="00361EA2">
        <w:rPr>
          <w:rFonts w:ascii="Arial" w:hAnsi="Arial" w:cs="Arial"/>
          <w:sz w:val="24"/>
          <w:szCs w:val="24"/>
        </w:rPr>
        <w:t xml:space="preserve"> сè</w:t>
      </w:r>
      <w:r w:rsidRPr="00190912">
        <w:rPr>
          <w:rFonts w:ascii="Arial" w:hAnsi="Arial" w:cs="Arial"/>
          <w:sz w:val="24"/>
          <w:szCs w:val="24"/>
        </w:rPr>
        <w:t xml:space="preserve"> додека не се објави </w:t>
      </w:r>
      <w:r w:rsidRPr="00190912">
        <w:rPr>
          <w:rFonts w:ascii="Arial" w:hAnsi="Arial" w:cs="Arial"/>
          <w:b/>
          <w:sz w:val="24"/>
          <w:szCs w:val="24"/>
        </w:rPr>
        <w:t>вториот пакет во јануари, 1995</w:t>
      </w:r>
      <w:r w:rsidR="00361EA2">
        <w:rPr>
          <w:rFonts w:ascii="Arial" w:hAnsi="Arial" w:cs="Arial"/>
          <w:b/>
          <w:sz w:val="24"/>
          <w:szCs w:val="24"/>
          <w:lang w:val="mk-MK"/>
        </w:rPr>
        <w:t xml:space="preserve"> </w:t>
      </w:r>
      <w:r w:rsidRPr="00190912">
        <w:rPr>
          <w:rFonts w:ascii="Arial" w:hAnsi="Arial" w:cs="Arial"/>
          <w:b/>
          <w:sz w:val="24"/>
          <w:szCs w:val="24"/>
        </w:rPr>
        <w:t>год</w:t>
      </w:r>
      <w:r w:rsidR="00361EA2">
        <w:rPr>
          <w:rFonts w:ascii="Arial" w:hAnsi="Arial" w:cs="Arial"/>
          <w:b/>
          <w:sz w:val="24"/>
          <w:szCs w:val="24"/>
          <w:lang w:val="mk-MK"/>
        </w:rPr>
        <w:t>.</w:t>
      </w:r>
      <w:r w:rsidRPr="00190912">
        <w:rPr>
          <w:rFonts w:ascii="Arial" w:hAnsi="Arial" w:cs="Arial"/>
          <w:b/>
          <w:sz w:val="24"/>
          <w:szCs w:val="24"/>
        </w:rPr>
        <w:t xml:space="preserve"> </w:t>
      </w:r>
      <w:proofErr w:type="gramStart"/>
      <w:r w:rsidRPr="00190912">
        <w:rPr>
          <w:rFonts w:ascii="Arial" w:hAnsi="Arial" w:cs="Arial"/>
          <w:b/>
          <w:sz w:val="24"/>
          <w:szCs w:val="24"/>
        </w:rPr>
        <w:t>во</w:t>
      </w:r>
      <w:proofErr w:type="gramEnd"/>
      <w:r w:rsidRPr="00190912">
        <w:rPr>
          <w:rFonts w:ascii="Arial" w:hAnsi="Arial" w:cs="Arial"/>
          <w:b/>
          <w:sz w:val="24"/>
          <w:szCs w:val="24"/>
        </w:rPr>
        <w:t xml:space="preserve"> износ од 50 билиони долари.</w:t>
      </w:r>
      <w:r w:rsidR="00170F10">
        <w:rPr>
          <w:rStyle w:val="FootnoteReference"/>
          <w:rFonts w:ascii="Arial" w:hAnsi="Arial" w:cs="Arial"/>
          <w:sz w:val="24"/>
          <w:szCs w:val="24"/>
        </w:rPr>
        <w:footnoteReference w:id="3"/>
      </w:r>
      <w:r w:rsidR="00C50659">
        <w:rPr>
          <w:rFonts w:ascii="Arial" w:hAnsi="Arial" w:cs="Arial"/>
          <w:b/>
          <w:sz w:val="24"/>
          <w:szCs w:val="24"/>
        </w:rPr>
        <w:t xml:space="preserve"> </w:t>
      </w:r>
      <w:proofErr w:type="gramStart"/>
      <w:r w:rsidRPr="00190912">
        <w:rPr>
          <w:rFonts w:ascii="Arial" w:hAnsi="Arial" w:cs="Arial"/>
          <w:sz w:val="24"/>
          <w:szCs w:val="24"/>
        </w:rPr>
        <w:t xml:space="preserve">Сепак, капиталните одливи и депресијацијата продолжија за време на </w:t>
      </w:r>
      <w:r w:rsidR="00361EA2">
        <w:rPr>
          <w:rFonts w:ascii="Arial" w:hAnsi="Arial" w:cs="Arial"/>
          <w:sz w:val="24"/>
          <w:szCs w:val="24"/>
          <w:lang w:val="mk-MK"/>
        </w:rPr>
        <w:t xml:space="preserve">месец </w:t>
      </w:r>
      <w:r w:rsidR="00361EA2">
        <w:rPr>
          <w:rFonts w:ascii="Arial" w:hAnsi="Arial" w:cs="Arial"/>
          <w:sz w:val="24"/>
          <w:szCs w:val="24"/>
        </w:rPr>
        <w:t>март</w:t>
      </w:r>
      <w:r w:rsidR="00361EA2">
        <w:rPr>
          <w:rFonts w:ascii="Arial" w:hAnsi="Arial" w:cs="Arial"/>
          <w:sz w:val="24"/>
          <w:szCs w:val="24"/>
          <w:lang w:val="mk-MK"/>
        </w:rPr>
        <w:t>,</w:t>
      </w:r>
      <w:r w:rsidR="00361EA2">
        <w:rPr>
          <w:rFonts w:ascii="Arial" w:hAnsi="Arial" w:cs="Arial"/>
          <w:sz w:val="24"/>
          <w:szCs w:val="24"/>
        </w:rPr>
        <w:t xml:space="preserve"> </w:t>
      </w:r>
      <w:r w:rsidR="00361EA2">
        <w:rPr>
          <w:rFonts w:ascii="Arial" w:hAnsi="Arial" w:cs="Arial"/>
          <w:sz w:val="24"/>
          <w:szCs w:val="24"/>
          <w:lang w:val="mk-MK"/>
        </w:rPr>
        <w:t>а</w:t>
      </w:r>
      <w:r w:rsidRPr="00190912">
        <w:rPr>
          <w:rFonts w:ascii="Arial" w:hAnsi="Arial" w:cs="Arial"/>
          <w:sz w:val="24"/>
          <w:szCs w:val="24"/>
        </w:rPr>
        <w:t xml:space="preserve"> програмата за прилагодување требаше да доведе до понатамошно затегнување.</w:t>
      </w:r>
      <w:proofErr w:type="gramEnd"/>
      <w:r w:rsidRPr="00190912">
        <w:rPr>
          <w:rFonts w:ascii="Arial" w:hAnsi="Arial" w:cs="Arial"/>
          <w:sz w:val="24"/>
          <w:szCs w:val="24"/>
        </w:rPr>
        <w:t xml:space="preserve"> </w:t>
      </w:r>
      <w:proofErr w:type="gramStart"/>
      <w:r w:rsidRPr="00190912">
        <w:rPr>
          <w:rFonts w:ascii="Arial" w:hAnsi="Arial" w:cs="Arial"/>
          <w:sz w:val="24"/>
          <w:szCs w:val="24"/>
        </w:rPr>
        <w:t xml:space="preserve">Ова го намали капиталниот одлив, но предизвика силна контракција </w:t>
      </w:r>
      <w:r w:rsidR="002C1385">
        <w:rPr>
          <w:rFonts w:ascii="Arial" w:hAnsi="Arial" w:cs="Arial"/>
          <w:sz w:val="24"/>
          <w:szCs w:val="24"/>
          <w:lang w:val="mk-MK"/>
        </w:rPr>
        <w:t>на</w:t>
      </w:r>
      <w:r w:rsidRPr="00190912">
        <w:rPr>
          <w:rFonts w:ascii="Arial" w:hAnsi="Arial" w:cs="Arial"/>
          <w:sz w:val="24"/>
          <w:szCs w:val="24"/>
        </w:rPr>
        <w:t xml:space="preserve"> аутпутот </w:t>
      </w:r>
      <w:r w:rsidR="00361EA2">
        <w:rPr>
          <w:rFonts w:ascii="Arial" w:hAnsi="Arial" w:cs="Arial"/>
          <w:sz w:val="24"/>
          <w:szCs w:val="24"/>
          <w:lang w:val="mk-MK"/>
        </w:rPr>
        <w:t>проследено</w:t>
      </w:r>
      <w:r w:rsidR="00361EA2">
        <w:rPr>
          <w:rFonts w:ascii="Arial" w:hAnsi="Arial" w:cs="Arial"/>
          <w:sz w:val="24"/>
          <w:szCs w:val="24"/>
        </w:rPr>
        <w:t xml:space="preserve"> со </w:t>
      </w:r>
      <w:r w:rsidRPr="00190912">
        <w:rPr>
          <w:rFonts w:ascii="Arial" w:hAnsi="Arial" w:cs="Arial"/>
          <w:sz w:val="24"/>
          <w:szCs w:val="24"/>
        </w:rPr>
        <w:t>високи реални кама</w:t>
      </w:r>
      <w:r w:rsidR="00361EA2">
        <w:rPr>
          <w:rFonts w:ascii="Arial" w:hAnsi="Arial" w:cs="Arial"/>
          <w:sz w:val="24"/>
          <w:szCs w:val="24"/>
        </w:rPr>
        <w:t>тни стапки</w:t>
      </w:r>
      <w:r w:rsidR="00361EA2">
        <w:rPr>
          <w:rFonts w:ascii="Arial" w:hAnsi="Arial" w:cs="Arial"/>
          <w:sz w:val="24"/>
          <w:szCs w:val="24"/>
          <w:lang w:val="mk-MK"/>
        </w:rPr>
        <w:t>,</w:t>
      </w:r>
      <w:r w:rsidRPr="00190912">
        <w:rPr>
          <w:rFonts w:ascii="Arial" w:hAnsi="Arial" w:cs="Arial"/>
          <w:sz w:val="24"/>
          <w:szCs w:val="24"/>
        </w:rPr>
        <w:t xml:space="preserve"> при што доведоа до голем стрес в</w:t>
      </w:r>
      <w:r w:rsidR="00361EA2">
        <w:rPr>
          <w:rFonts w:ascii="Arial" w:hAnsi="Arial" w:cs="Arial"/>
          <w:sz w:val="24"/>
          <w:szCs w:val="24"/>
          <w:lang w:val="mk-MK"/>
        </w:rPr>
        <w:t>о</w:t>
      </w:r>
      <w:r w:rsidRPr="00190912">
        <w:rPr>
          <w:rFonts w:ascii="Arial" w:hAnsi="Arial" w:cs="Arial"/>
          <w:sz w:val="24"/>
          <w:szCs w:val="24"/>
        </w:rPr>
        <w:t xml:space="preserve"> банкарскиот систем.</w:t>
      </w:r>
      <w:proofErr w:type="gramEnd"/>
      <w:r w:rsidRPr="00190912">
        <w:rPr>
          <w:rFonts w:ascii="Arial" w:hAnsi="Arial" w:cs="Arial"/>
          <w:sz w:val="24"/>
          <w:szCs w:val="24"/>
        </w:rPr>
        <w:t xml:space="preserve"> </w:t>
      </w:r>
      <w:proofErr w:type="gramStart"/>
      <w:r w:rsidRPr="00190912">
        <w:rPr>
          <w:rFonts w:ascii="Arial" w:hAnsi="Arial" w:cs="Arial"/>
          <w:sz w:val="24"/>
          <w:szCs w:val="24"/>
        </w:rPr>
        <w:t>Кризата резултираше со напуштање на фиксниот девизниот курс и силна девалвација</w:t>
      </w:r>
      <w:r w:rsidR="00C50659">
        <w:rPr>
          <w:rFonts w:ascii="Arial" w:hAnsi="Arial" w:cs="Arial"/>
          <w:sz w:val="24"/>
          <w:szCs w:val="24"/>
        </w:rPr>
        <w:t xml:space="preserve">, </w:t>
      </w:r>
      <w:r w:rsidRPr="00190912">
        <w:rPr>
          <w:rFonts w:ascii="Arial" w:hAnsi="Arial" w:cs="Arial"/>
          <w:sz w:val="24"/>
          <w:szCs w:val="24"/>
        </w:rPr>
        <w:t>навала на државниот долг – иако без неуспех од исполнување на обврските и банкарски к</w:t>
      </w:r>
      <w:r w:rsidR="006C0239">
        <w:rPr>
          <w:rFonts w:ascii="Arial" w:hAnsi="Arial" w:cs="Arial"/>
          <w:sz w:val="24"/>
          <w:szCs w:val="24"/>
        </w:rPr>
        <w:t>ризи во 1995</w:t>
      </w:r>
      <w:r w:rsidR="00361EA2">
        <w:rPr>
          <w:rFonts w:ascii="Arial" w:hAnsi="Arial" w:cs="Arial"/>
          <w:sz w:val="24"/>
          <w:szCs w:val="24"/>
          <w:lang w:val="mk-MK"/>
        </w:rPr>
        <w:t xml:space="preserve"> </w:t>
      </w:r>
      <w:r w:rsidR="006C0239">
        <w:rPr>
          <w:rFonts w:ascii="Arial" w:hAnsi="Arial" w:cs="Arial"/>
          <w:sz w:val="24"/>
          <w:szCs w:val="24"/>
        </w:rPr>
        <w:t>год.</w:t>
      </w:r>
      <w:proofErr w:type="gramEnd"/>
      <w:r w:rsidR="006C0239">
        <w:rPr>
          <w:rFonts w:ascii="Arial" w:hAnsi="Arial" w:cs="Arial"/>
          <w:sz w:val="24"/>
          <w:szCs w:val="24"/>
        </w:rPr>
        <w:t xml:space="preserve"> </w:t>
      </w:r>
      <w:proofErr w:type="gramStart"/>
      <w:r w:rsidR="006C0239">
        <w:rPr>
          <w:rFonts w:ascii="Arial" w:hAnsi="Arial" w:cs="Arial"/>
          <w:sz w:val="24"/>
          <w:szCs w:val="24"/>
        </w:rPr>
        <w:t>БДП се намали</w:t>
      </w:r>
      <w:r w:rsidRPr="00190912">
        <w:rPr>
          <w:rFonts w:ascii="Arial" w:hAnsi="Arial" w:cs="Arial"/>
          <w:sz w:val="24"/>
          <w:szCs w:val="24"/>
        </w:rPr>
        <w:t xml:space="preserve"> на 7% во 1995</w:t>
      </w:r>
      <w:r w:rsidR="00361EA2">
        <w:rPr>
          <w:rFonts w:ascii="Arial" w:hAnsi="Arial" w:cs="Arial"/>
          <w:sz w:val="24"/>
          <w:szCs w:val="24"/>
          <w:lang w:val="mk-MK"/>
        </w:rPr>
        <w:t xml:space="preserve"> </w:t>
      </w:r>
      <w:r w:rsidRPr="00190912">
        <w:rPr>
          <w:rFonts w:ascii="Arial" w:hAnsi="Arial" w:cs="Arial"/>
          <w:sz w:val="24"/>
          <w:szCs w:val="24"/>
        </w:rPr>
        <w:t>год.</w:t>
      </w:r>
      <w:proofErr w:type="gramEnd"/>
    </w:p>
    <w:p w:rsidR="00190912" w:rsidRPr="00361EA2" w:rsidRDefault="00190912" w:rsidP="00361EA2">
      <w:pPr>
        <w:pStyle w:val="ListParagraph"/>
        <w:numPr>
          <w:ilvl w:val="0"/>
          <w:numId w:val="3"/>
        </w:numPr>
        <w:spacing w:line="240" w:lineRule="auto"/>
        <w:ind w:left="426"/>
        <w:jc w:val="center"/>
        <w:rPr>
          <w:rFonts w:ascii="Arial" w:hAnsi="Arial" w:cs="Arial"/>
          <w:b/>
          <w:szCs w:val="24"/>
        </w:rPr>
      </w:pPr>
      <w:r w:rsidRPr="00361EA2">
        <w:rPr>
          <w:rFonts w:ascii="Arial" w:hAnsi="Arial" w:cs="Arial"/>
          <w:b/>
          <w:szCs w:val="24"/>
        </w:rPr>
        <w:t>Кои беа главните причини за кризата?</w:t>
      </w:r>
    </w:p>
    <w:p w:rsidR="00190912" w:rsidRPr="00190912" w:rsidRDefault="00190912" w:rsidP="00190912">
      <w:pPr>
        <w:spacing w:line="240" w:lineRule="auto"/>
        <w:jc w:val="both"/>
        <w:rPr>
          <w:rFonts w:ascii="Arial" w:hAnsi="Arial" w:cs="Arial"/>
          <w:sz w:val="24"/>
          <w:szCs w:val="24"/>
        </w:rPr>
      </w:pPr>
      <w:r w:rsidRPr="00190912">
        <w:rPr>
          <w:rFonts w:ascii="Arial" w:hAnsi="Arial" w:cs="Arial"/>
          <w:sz w:val="24"/>
          <w:szCs w:val="24"/>
        </w:rPr>
        <w:tab/>
        <w:t>Не постои консензус за причините на Мексичката криза, но следниве хипотези се предложени во широката литература:</w:t>
      </w:r>
    </w:p>
    <w:p w:rsidR="00190912" w:rsidRPr="00190912" w:rsidRDefault="00190912" w:rsidP="00190912">
      <w:pPr>
        <w:pStyle w:val="ListParagraph"/>
        <w:numPr>
          <w:ilvl w:val="0"/>
          <w:numId w:val="2"/>
        </w:numPr>
        <w:spacing w:line="240" w:lineRule="auto"/>
        <w:ind w:left="993"/>
        <w:jc w:val="both"/>
        <w:rPr>
          <w:rFonts w:ascii="Arial" w:hAnsi="Arial" w:cs="Arial"/>
          <w:szCs w:val="24"/>
          <w:lang w:val="en-US"/>
        </w:rPr>
      </w:pPr>
      <w:r w:rsidRPr="00BC3A15">
        <w:rPr>
          <w:rFonts w:ascii="Arial" w:hAnsi="Arial" w:cs="Arial"/>
          <w:b/>
          <w:szCs w:val="24"/>
        </w:rPr>
        <w:t xml:space="preserve">Употребата на девизниот курс </w:t>
      </w:r>
      <w:r w:rsidRPr="00190912">
        <w:rPr>
          <w:rFonts w:ascii="Arial" w:hAnsi="Arial" w:cs="Arial"/>
          <w:szCs w:val="24"/>
        </w:rPr>
        <w:t xml:space="preserve">како номинална котва во услови на инфлациона инертност, доведе до преценување на реалниот девизен курс и неодржлив дефицит на тековната сметка. Согласно на ова гледиште (поврзано со </w:t>
      </w:r>
      <w:r w:rsidRPr="00190912">
        <w:rPr>
          <w:rFonts w:ascii="Arial" w:hAnsi="Arial" w:cs="Arial"/>
          <w:szCs w:val="24"/>
          <w:lang w:val="en-US"/>
        </w:rPr>
        <w:t>Dornbusch,</w:t>
      </w:r>
      <w:r w:rsidRPr="00190912">
        <w:rPr>
          <w:rFonts w:ascii="Arial" w:hAnsi="Arial" w:cs="Arial"/>
          <w:szCs w:val="24"/>
        </w:rPr>
        <w:t xml:space="preserve"> </w:t>
      </w:r>
      <w:r w:rsidRPr="00190912">
        <w:rPr>
          <w:rFonts w:ascii="Arial" w:hAnsi="Arial" w:cs="Arial"/>
          <w:szCs w:val="24"/>
          <w:lang w:val="en-US"/>
        </w:rPr>
        <w:t xml:space="preserve">Goldfajn, Valdés, 1995), </w:t>
      </w:r>
      <w:r w:rsidRPr="00190912">
        <w:rPr>
          <w:rFonts w:ascii="Arial" w:hAnsi="Arial" w:cs="Arial"/>
          <w:szCs w:val="24"/>
        </w:rPr>
        <w:t>силната корекција на девизниот курс беше неизбежна во еден момент и беше предизвикана од внатрешните и надворешните шокови за време на 1994год.</w:t>
      </w:r>
    </w:p>
    <w:p w:rsidR="00190912" w:rsidRPr="00190912" w:rsidRDefault="00190912" w:rsidP="00190912">
      <w:pPr>
        <w:pStyle w:val="ListParagraph"/>
        <w:numPr>
          <w:ilvl w:val="0"/>
          <w:numId w:val="2"/>
        </w:numPr>
        <w:spacing w:line="240" w:lineRule="auto"/>
        <w:ind w:left="993"/>
        <w:jc w:val="both"/>
        <w:rPr>
          <w:rFonts w:ascii="Arial" w:hAnsi="Arial" w:cs="Arial"/>
          <w:szCs w:val="24"/>
          <w:lang w:val="en-US"/>
        </w:rPr>
      </w:pPr>
      <w:r w:rsidRPr="00190912">
        <w:rPr>
          <w:rFonts w:ascii="Arial" w:hAnsi="Arial" w:cs="Arial"/>
          <w:szCs w:val="24"/>
        </w:rPr>
        <w:t xml:space="preserve">Други како </w:t>
      </w:r>
      <w:r w:rsidRPr="00190912">
        <w:rPr>
          <w:rFonts w:ascii="Arial" w:hAnsi="Arial" w:cs="Arial"/>
          <w:szCs w:val="24"/>
          <w:lang w:val="en-US"/>
        </w:rPr>
        <w:t xml:space="preserve">Ötker </w:t>
      </w:r>
      <w:r w:rsidRPr="00190912">
        <w:rPr>
          <w:rFonts w:ascii="Arial" w:hAnsi="Arial" w:cs="Arial"/>
          <w:szCs w:val="24"/>
        </w:rPr>
        <w:t xml:space="preserve">и </w:t>
      </w:r>
      <w:r w:rsidRPr="00190912">
        <w:rPr>
          <w:rFonts w:ascii="Arial" w:hAnsi="Arial" w:cs="Arial"/>
          <w:szCs w:val="24"/>
          <w:lang w:val="en-US"/>
        </w:rPr>
        <w:t xml:space="preserve">Pazarbasioglu (1995), </w:t>
      </w:r>
      <w:r w:rsidRPr="00190912">
        <w:rPr>
          <w:rFonts w:ascii="Arial" w:hAnsi="Arial" w:cs="Arial"/>
          <w:szCs w:val="24"/>
        </w:rPr>
        <w:t xml:space="preserve">ставија поголемо нагласување на </w:t>
      </w:r>
      <w:r w:rsidRPr="00BC3A15">
        <w:rPr>
          <w:rFonts w:ascii="Arial" w:hAnsi="Arial" w:cs="Arial"/>
          <w:b/>
          <w:szCs w:val="24"/>
        </w:rPr>
        <w:t>политичката неконзистентност и грешките за време на 1994год</w:t>
      </w:r>
      <w:r w:rsidRPr="00BC3A15">
        <w:rPr>
          <w:rFonts w:ascii="Arial" w:hAnsi="Arial" w:cs="Arial"/>
          <w:b/>
          <w:szCs w:val="24"/>
          <w:lang w:val="en-US"/>
        </w:rPr>
        <w:t>:</w:t>
      </w:r>
      <w:r w:rsidRPr="00190912">
        <w:rPr>
          <w:rFonts w:ascii="Arial" w:hAnsi="Arial" w:cs="Arial"/>
          <w:szCs w:val="24"/>
        </w:rPr>
        <w:t xml:space="preserve"> одлуките да стерилизираат големи интервенции, да ги држат каматните стапки ниски и да избегнат било какво фискално затегнување</w:t>
      </w:r>
      <w:r w:rsidRPr="00190912">
        <w:rPr>
          <w:rFonts w:ascii="Arial" w:hAnsi="Arial" w:cs="Arial"/>
          <w:szCs w:val="24"/>
          <w:lang w:val="en-US"/>
        </w:rPr>
        <w:t>;</w:t>
      </w:r>
      <w:r w:rsidRPr="00190912">
        <w:rPr>
          <w:rFonts w:ascii="Arial" w:hAnsi="Arial" w:cs="Arial"/>
          <w:szCs w:val="24"/>
        </w:rPr>
        <w:t xml:space="preserve"> значителната конверзија на домашниот државен долг изразен во песоси за </w:t>
      </w:r>
      <w:r w:rsidRPr="00190912">
        <w:rPr>
          <w:rFonts w:ascii="Arial" w:hAnsi="Arial" w:cs="Arial"/>
          <w:szCs w:val="24"/>
          <w:lang w:val="en-US"/>
        </w:rPr>
        <w:t>Tesobonos,</w:t>
      </w:r>
      <w:r w:rsidRPr="00190912">
        <w:rPr>
          <w:rFonts w:ascii="Arial" w:hAnsi="Arial" w:cs="Arial"/>
          <w:szCs w:val="24"/>
        </w:rPr>
        <w:t xml:space="preserve"> имаше за намера да ја држи монетарната база стабилна и да не доведе </w:t>
      </w:r>
      <w:r w:rsidR="00BC3A15">
        <w:rPr>
          <w:rFonts w:ascii="Arial" w:hAnsi="Arial" w:cs="Arial"/>
          <w:szCs w:val="24"/>
        </w:rPr>
        <w:t>до пораст на каматните стапки (</w:t>
      </w:r>
      <w:r w:rsidRPr="00190912">
        <w:rPr>
          <w:rFonts w:ascii="Arial" w:hAnsi="Arial" w:cs="Arial"/>
          <w:szCs w:val="24"/>
        </w:rPr>
        <w:t>да избегне уште поголеми тешкотии во слабиот банкарски систем)</w:t>
      </w:r>
      <w:r w:rsidR="00BC3A15">
        <w:rPr>
          <w:rFonts w:ascii="Arial" w:hAnsi="Arial" w:cs="Arial"/>
          <w:szCs w:val="24"/>
        </w:rPr>
        <w:t>,</w:t>
      </w:r>
      <w:r w:rsidRPr="00190912">
        <w:rPr>
          <w:rFonts w:ascii="Arial" w:hAnsi="Arial" w:cs="Arial"/>
          <w:szCs w:val="24"/>
        </w:rPr>
        <w:t xml:space="preserve"> но донесе тензија на девизниот пазар и недостигот на транспарентност за состојбата на резервите</w:t>
      </w:r>
      <w:r w:rsidR="00BC3A15">
        <w:rPr>
          <w:rFonts w:ascii="Arial" w:hAnsi="Arial" w:cs="Arial"/>
          <w:szCs w:val="24"/>
        </w:rPr>
        <w:t>,</w:t>
      </w:r>
      <w:r w:rsidRPr="00190912">
        <w:rPr>
          <w:rFonts w:ascii="Arial" w:hAnsi="Arial" w:cs="Arial"/>
          <w:szCs w:val="24"/>
        </w:rPr>
        <w:t xml:space="preserve"> </w:t>
      </w:r>
      <w:r w:rsidR="00BC3A15">
        <w:rPr>
          <w:rFonts w:ascii="Arial" w:hAnsi="Arial" w:cs="Arial"/>
          <w:szCs w:val="24"/>
        </w:rPr>
        <w:t xml:space="preserve">доведувајќи </w:t>
      </w:r>
      <w:r w:rsidRPr="00190912">
        <w:rPr>
          <w:rFonts w:ascii="Arial" w:hAnsi="Arial" w:cs="Arial"/>
          <w:szCs w:val="24"/>
        </w:rPr>
        <w:t xml:space="preserve"> до ненадејна загуба на довербата на инвеститорите.</w:t>
      </w:r>
    </w:p>
    <w:p w:rsidR="00190912" w:rsidRPr="00190912" w:rsidRDefault="00190912" w:rsidP="00190912">
      <w:pPr>
        <w:pStyle w:val="ListParagraph"/>
        <w:numPr>
          <w:ilvl w:val="0"/>
          <w:numId w:val="2"/>
        </w:numPr>
        <w:spacing w:line="240" w:lineRule="auto"/>
        <w:ind w:left="993"/>
        <w:jc w:val="both"/>
        <w:rPr>
          <w:rFonts w:ascii="Arial" w:hAnsi="Arial" w:cs="Arial"/>
          <w:szCs w:val="24"/>
          <w:lang w:val="en-US"/>
        </w:rPr>
      </w:pPr>
      <w:r w:rsidRPr="00190912">
        <w:rPr>
          <w:rFonts w:ascii="Arial" w:hAnsi="Arial" w:cs="Arial"/>
          <w:szCs w:val="24"/>
        </w:rPr>
        <w:t xml:space="preserve">Некои анализи, на пример, </w:t>
      </w:r>
      <w:r w:rsidRPr="00190912">
        <w:rPr>
          <w:rFonts w:ascii="Arial" w:hAnsi="Arial" w:cs="Arial"/>
          <w:szCs w:val="24"/>
          <w:lang w:val="en-US"/>
        </w:rPr>
        <w:t>Calomiris (1998)</w:t>
      </w:r>
      <w:r w:rsidRPr="00190912">
        <w:rPr>
          <w:rFonts w:ascii="Arial" w:hAnsi="Arial" w:cs="Arial"/>
          <w:szCs w:val="24"/>
        </w:rPr>
        <w:t xml:space="preserve"> ја нагласи </w:t>
      </w:r>
      <w:r w:rsidRPr="00BC3A15">
        <w:rPr>
          <w:rFonts w:ascii="Arial" w:hAnsi="Arial" w:cs="Arial"/>
          <w:b/>
          <w:szCs w:val="24"/>
        </w:rPr>
        <w:t>улогата на моралниот хазард</w:t>
      </w:r>
      <w:r w:rsidRPr="00190912">
        <w:rPr>
          <w:rFonts w:ascii="Arial" w:hAnsi="Arial" w:cs="Arial"/>
          <w:szCs w:val="24"/>
        </w:rPr>
        <w:t xml:space="preserve"> поврзан со очекувањата дека ММФ ќе ги спаси заемите на Мексичките банки, па оттука индуцирајќи капитални приливи и ризични кредитирања од страна на самите банки.</w:t>
      </w:r>
    </w:p>
    <w:p w:rsidR="00190912" w:rsidRPr="00190912" w:rsidRDefault="00190912" w:rsidP="00190912">
      <w:pPr>
        <w:pStyle w:val="ListParagraph"/>
        <w:numPr>
          <w:ilvl w:val="0"/>
          <w:numId w:val="2"/>
        </w:numPr>
        <w:spacing w:line="240" w:lineRule="auto"/>
        <w:ind w:left="993"/>
        <w:jc w:val="both"/>
        <w:rPr>
          <w:rFonts w:ascii="Arial" w:hAnsi="Arial" w:cs="Arial"/>
          <w:szCs w:val="24"/>
          <w:lang w:val="en-US"/>
        </w:rPr>
      </w:pPr>
      <w:r w:rsidRPr="00190912">
        <w:rPr>
          <w:rFonts w:ascii="Arial" w:hAnsi="Arial" w:cs="Arial"/>
          <w:szCs w:val="24"/>
        </w:rPr>
        <w:t xml:space="preserve">Согласно на ова, но и дополнето со настани од последователните кризи во пазарите во развој, други анализи за Мексичката криза (на пример, </w:t>
      </w:r>
      <w:r w:rsidRPr="00190912">
        <w:rPr>
          <w:rFonts w:ascii="Arial" w:hAnsi="Arial" w:cs="Arial"/>
          <w:szCs w:val="24"/>
          <w:lang w:val="en-US"/>
        </w:rPr>
        <w:t>Ghosh,</w:t>
      </w:r>
      <w:r w:rsidR="00BC3A15">
        <w:rPr>
          <w:rFonts w:ascii="Arial" w:hAnsi="Arial" w:cs="Arial"/>
          <w:szCs w:val="24"/>
        </w:rPr>
        <w:t xml:space="preserve"> </w:t>
      </w:r>
      <w:r w:rsidRPr="00190912">
        <w:rPr>
          <w:rFonts w:ascii="Arial" w:hAnsi="Arial" w:cs="Arial"/>
          <w:szCs w:val="24"/>
        </w:rPr>
        <w:t xml:space="preserve">2002) ја нагласи улогата на </w:t>
      </w:r>
      <w:r w:rsidRPr="00BC3A15">
        <w:rPr>
          <w:rFonts w:ascii="Arial" w:hAnsi="Arial" w:cs="Arial"/>
          <w:b/>
          <w:szCs w:val="24"/>
        </w:rPr>
        <w:t>осетливоста на финансискиот сектор и слабата супервизија</w:t>
      </w:r>
      <w:r w:rsidRPr="00190912">
        <w:rPr>
          <w:rFonts w:ascii="Arial" w:hAnsi="Arial" w:cs="Arial"/>
          <w:szCs w:val="24"/>
        </w:rPr>
        <w:t xml:space="preserve">, кои не дозволија ефикасна интермедијација на капиталните приливи и доведоа до ранливост на ниво на фирма. Другите проблеми со билансите на состојба, примарно </w:t>
      </w:r>
      <w:r w:rsidRPr="00190912">
        <w:rPr>
          <w:rFonts w:ascii="Arial" w:hAnsi="Arial" w:cs="Arial"/>
          <w:szCs w:val="24"/>
        </w:rPr>
        <w:lastRenderedPageBreak/>
        <w:t>ранливоста на билансите на јавниот сектор поради замената во доларско-деноминиран долг, беа исто така важен фактор.</w:t>
      </w:r>
    </w:p>
    <w:p w:rsidR="00190912" w:rsidRPr="00190912" w:rsidRDefault="00190912" w:rsidP="00190912">
      <w:pPr>
        <w:pStyle w:val="ListParagraph"/>
        <w:numPr>
          <w:ilvl w:val="0"/>
          <w:numId w:val="2"/>
        </w:numPr>
        <w:spacing w:line="240" w:lineRule="auto"/>
        <w:ind w:left="993"/>
        <w:jc w:val="both"/>
        <w:rPr>
          <w:rFonts w:ascii="Arial" w:hAnsi="Arial" w:cs="Arial"/>
          <w:szCs w:val="24"/>
          <w:lang w:val="en-US"/>
        </w:rPr>
      </w:pPr>
      <w:r w:rsidRPr="00190912">
        <w:rPr>
          <w:rFonts w:ascii="Arial" w:hAnsi="Arial" w:cs="Arial"/>
          <w:szCs w:val="24"/>
        </w:rPr>
        <w:t xml:space="preserve">На крај, фактот дека обемот и тајмингот на кризата беше во голема мера неочекуван допушти многу да ја толкуваат Мексичката криза како </w:t>
      </w:r>
      <w:r w:rsidRPr="00190912">
        <w:rPr>
          <w:rFonts w:ascii="Arial" w:hAnsi="Arial" w:cs="Arial"/>
          <w:szCs w:val="24"/>
          <w:lang w:val="en-US"/>
        </w:rPr>
        <w:t>“sell-fulfilling”</w:t>
      </w:r>
      <w:r w:rsidRPr="00190912">
        <w:rPr>
          <w:rFonts w:ascii="Arial" w:hAnsi="Arial" w:cs="Arial"/>
          <w:szCs w:val="24"/>
        </w:rPr>
        <w:t xml:space="preserve"> (самоисполнувачка) паника отколку </w:t>
      </w:r>
      <w:r w:rsidRPr="00190912">
        <w:rPr>
          <w:rFonts w:ascii="Arial" w:hAnsi="Arial" w:cs="Arial"/>
          <w:szCs w:val="24"/>
          <w:lang w:val="en-US"/>
        </w:rPr>
        <w:t>“</w:t>
      </w:r>
      <w:r w:rsidRPr="00190912">
        <w:rPr>
          <w:rFonts w:ascii="Arial" w:hAnsi="Arial" w:cs="Arial"/>
          <w:szCs w:val="24"/>
        </w:rPr>
        <w:t>неизбежна</w:t>
      </w:r>
      <w:r w:rsidRPr="00190912">
        <w:rPr>
          <w:rFonts w:ascii="Arial" w:hAnsi="Arial" w:cs="Arial"/>
          <w:szCs w:val="24"/>
          <w:lang w:val="en-US"/>
        </w:rPr>
        <w:t>”</w:t>
      </w:r>
      <w:r w:rsidRPr="00190912">
        <w:rPr>
          <w:rFonts w:ascii="Arial" w:hAnsi="Arial" w:cs="Arial"/>
          <w:szCs w:val="24"/>
        </w:rPr>
        <w:t xml:space="preserve">. Главниот извор на проблемот се гледа обично во изградбата на големите количини на јавен долг во странска валута со краток рок на доспевање и </w:t>
      </w:r>
      <w:r w:rsidRPr="00190912">
        <w:rPr>
          <w:rFonts w:ascii="Arial" w:hAnsi="Arial" w:cs="Arial"/>
          <w:szCs w:val="24"/>
          <w:lang w:val="en-US"/>
        </w:rPr>
        <w:t>“herding”</w:t>
      </w:r>
      <w:r w:rsidRPr="00190912">
        <w:rPr>
          <w:rFonts w:ascii="Arial" w:hAnsi="Arial" w:cs="Arial"/>
          <w:szCs w:val="24"/>
        </w:rPr>
        <w:t xml:space="preserve"> однесувањето на финансиските пазари (</w:t>
      </w:r>
      <w:r w:rsidRPr="00190912">
        <w:rPr>
          <w:rFonts w:ascii="Arial" w:hAnsi="Arial" w:cs="Arial"/>
          <w:szCs w:val="24"/>
          <w:lang w:val="en-US"/>
        </w:rPr>
        <w:t>Calvo</w:t>
      </w:r>
      <w:r w:rsidRPr="00190912">
        <w:rPr>
          <w:rFonts w:ascii="Arial" w:hAnsi="Arial" w:cs="Arial"/>
          <w:szCs w:val="24"/>
        </w:rPr>
        <w:t xml:space="preserve"> </w:t>
      </w:r>
      <w:r w:rsidRPr="00190912">
        <w:rPr>
          <w:rFonts w:ascii="Arial" w:hAnsi="Arial" w:cs="Arial"/>
          <w:szCs w:val="24"/>
          <w:lang w:val="en-US"/>
        </w:rPr>
        <w:t>and Mendoza, 1996; Cole and Kehoe, 1996; and Sachs, Tornell, and Velasco, 1996).</w:t>
      </w:r>
    </w:p>
    <w:p w:rsidR="00190912" w:rsidRPr="00190912" w:rsidRDefault="00190912" w:rsidP="00190912">
      <w:pPr>
        <w:spacing w:line="240" w:lineRule="auto"/>
        <w:jc w:val="both"/>
        <w:rPr>
          <w:rFonts w:ascii="Arial" w:hAnsi="Arial" w:cs="Arial"/>
          <w:sz w:val="24"/>
          <w:szCs w:val="24"/>
        </w:rPr>
      </w:pPr>
      <w:r w:rsidRPr="00190912">
        <w:rPr>
          <w:rFonts w:ascii="Arial" w:hAnsi="Arial" w:cs="Arial"/>
          <w:sz w:val="24"/>
          <w:szCs w:val="24"/>
        </w:rPr>
        <w:tab/>
      </w:r>
      <w:proofErr w:type="gramStart"/>
      <w:r w:rsidRPr="00190912">
        <w:rPr>
          <w:rFonts w:ascii="Arial" w:hAnsi="Arial" w:cs="Arial"/>
          <w:sz w:val="24"/>
          <w:szCs w:val="24"/>
        </w:rPr>
        <w:t>Овие различни хипотези</w:t>
      </w:r>
      <w:r w:rsidR="00361EA2">
        <w:rPr>
          <w:rFonts w:ascii="Arial" w:hAnsi="Arial" w:cs="Arial"/>
          <w:sz w:val="24"/>
          <w:szCs w:val="24"/>
          <w:lang w:val="mk-MK"/>
        </w:rPr>
        <w:t>,</w:t>
      </w:r>
      <w:r w:rsidRPr="00190912">
        <w:rPr>
          <w:rFonts w:ascii="Arial" w:hAnsi="Arial" w:cs="Arial"/>
          <w:sz w:val="24"/>
          <w:szCs w:val="24"/>
        </w:rPr>
        <w:t xml:space="preserve"> кои од една страна се конкурентни или се преклопуваат една со друга, беа анализирани во бројни статии од страна на Gil-Diaz and Carstens.</w:t>
      </w:r>
      <w:proofErr w:type="gramEnd"/>
      <w:r w:rsidRPr="00190912">
        <w:rPr>
          <w:rFonts w:ascii="Arial" w:hAnsi="Arial" w:cs="Arial"/>
          <w:sz w:val="24"/>
          <w:szCs w:val="24"/>
        </w:rPr>
        <w:t xml:space="preserve"> </w:t>
      </w:r>
      <w:proofErr w:type="gramStart"/>
      <w:r w:rsidRPr="00190912">
        <w:rPr>
          <w:rFonts w:ascii="Arial" w:hAnsi="Arial" w:cs="Arial"/>
          <w:sz w:val="24"/>
          <w:szCs w:val="24"/>
        </w:rPr>
        <w:t>Тие пронајдоа дека објаснувањата за Мексичките кризи кои ја нагласуваа неадекватната политика и неусогласеност</w:t>
      </w:r>
      <w:r w:rsidR="00662F6B">
        <w:rPr>
          <w:rFonts w:ascii="Arial" w:hAnsi="Arial" w:cs="Arial"/>
          <w:sz w:val="24"/>
          <w:szCs w:val="24"/>
          <w:lang w:val="mk-MK"/>
        </w:rPr>
        <w:t>а</w:t>
      </w:r>
      <w:r w:rsidR="00361EA2">
        <w:rPr>
          <w:rFonts w:ascii="Arial" w:hAnsi="Arial" w:cs="Arial"/>
          <w:sz w:val="24"/>
          <w:szCs w:val="24"/>
        </w:rPr>
        <w:t xml:space="preserve"> на реалните појави</w:t>
      </w:r>
      <w:r w:rsidRPr="00190912">
        <w:rPr>
          <w:rFonts w:ascii="Arial" w:hAnsi="Arial" w:cs="Arial"/>
          <w:sz w:val="24"/>
          <w:szCs w:val="24"/>
        </w:rPr>
        <w:t>.</w:t>
      </w:r>
      <w:proofErr w:type="gramEnd"/>
      <w:r w:rsidRPr="00190912">
        <w:rPr>
          <w:rFonts w:ascii="Arial" w:hAnsi="Arial" w:cs="Arial"/>
          <w:sz w:val="24"/>
          <w:szCs w:val="24"/>
        </w:rPr>
        <w:t xml:space="preserve"> </w:t>
      </w:r>
      <w:proofErr w:type="gramStart"/>
      <w:r w:rsidRPr="00190912">
        <w:rPr>
          <w:rFonts w:ascii="Arial" w:hAnsi="Arial" w:cs="Arial"/>
          <w:sz w:val="24"/>
          <w:szCs w:val="24"/>
        </w:rPr>
        <w:t xml:space="preserve">Додека макроекономскиот менаџмент можел да биде сигурно подобрен, тие заклучиле дека </w:t>
      </w:r>
      <w:r w:rsidR="00361EA2">
        <w:rPr>
          <w:rFonts w:ascii="Arial" w:hAnsi="Arial" w:cs="Arial"/>
          <w:sz w:val="24"/>
          <w:szCs w:val="24"/>
        </w:rPr>
        <w:t>основната причина за кризата б</w:t>
      </w:r>
      <w:r w:rsidR="00361EA2">
        <w:rPr>
          <w:rFonts w:ascii="Arial" w:hAnsi="Arial" w:cs="Arial"/>
          <w:sz w:val="24"/>
          <w:szCs w:val="24"/>
          <w:lang w:val="mk-MK"/>
        </w:rPr>
        <w:t>иле</w:t>
      </w:r>
      <w:r w:rsidRPr="00190912">
        <w:rPr>
          <w:rFonts w:ascii="Arial" w:hAnsi="Arial" w:cs="Arial"/>
          <w:sz w:val="24"/>
          <w:szCs w:val="24"/>
        </w:rPr>
        <w:t xml:space="preserve"> политички стимулираните шпекулативни напади врз фиксниот девизен режим, големиот дефицит на тековната сметка (одразувајќи брза кредитна експанзија и преценетост на девизниот курс на песото) и остриот пораст на каматните стапки во САД.</w:t>
      </w:r>
      <w:proofErr w:type="gramEnd"/>
    </w:p>
    <w:p w:rsidR="00190912" w:rsidRPr="00361EA2" w:rsidRDefault="00190912" w:rsidP="00361EA2">
      <w:pPr>
        <w:pStyle w:val="ListParagraph"/>
        <w:numPr>
          <w:ilvl w:val="0"/>
          <w:numId w:val="3"/>
        </w:numPr>
        <w:spacing w:line="240" w:lineRule="auto"/>
        <w:ind w:left="426"/>
        <w:jc w:val="center"/>
        <w:rPr>
          <w:rFonts w:ascii="Arial" w:hAnsi="Arial" w:cs="Arial"/>
          <w:b/>
          <w:szCs w:val="24"/>
        </w:rPr>
      </w:pPr>
      <w:r w:rsidRPr="00361EA2">
        <w:rPr>
          <w:rFonts w:ascii="Arial" w:hAnsi="Arial" w:cs="Arial"/>
          <w:b/>
          <w:szCs w:val="24"/>
        </w:rPr>
        <w:t>Каква беше природата на фискалната ранливост?</w:t>
      </w:r>
    </w:p>
    <w:p w:rsidR="00190912" w:rsidRPr="00190912" w:rsidRDefault="00190912" w:rsidP="003D682B">
      <w:pPr>
        <w:spacing w:after="0" w:line="240" w:lineRule="auto"/>
        <w:jc w:val="both"/>
        <w:rPr>
          <w:rFonts w:ascii="Arial" w:hAnsi="Arial" w:cs="Arial"/>
          <w:sz w:val="24"/>
          <w:szCs w:val="24"/>
        </w:rPr>
      </w:pPr>
      <w:r w:rsidRPr="00190912">
        <w:rPr>
          <w:rFonts w:ascii="Arial" w:hAnsi="Arial" w:cs="Arial"/>
          <w:sz w:val="24"/>
          <w:szCs w:val="24"/>
        </w:rPr>
        <w:tab/>
      </w:r>
      <w:proofErr w:type="gramStart"/>
      <w:r w:rsidRPr="00190912">
        <w:rPr>
          <w:rFonts w:ascii="Arial" w:hAnsi="Arial" w:cs="Arial"/>
          <w:sz w:val="24"/>
          <w:szCs w:val="24"/>
        </w:rPr>
        <w:t xml:space="preserve">Постои генерален консезус дека </w:t>
      </w:r>
      <w:r w:rsidRPr="00662F6B">
        <w:rPr>
          <w:rFonts w:ascii="Arial" w:hAnsi="Arial" w:cs="Arial"/>
          <w:b/>
          <w:i/>
          <w:sz w:val="24"/>
          <w:szCs w:val="24"/>
        </w:rPr>
        <w:t>фискалната политика не беше главна причина на кризата, најмалку во смисла на перзистентен дефицит кој го поткопува фиксниот девизен курс како во класичниот модел на Kругман (1979).</w:t>
      </w:r>
      <w:proofErr w:type="gramEnd"/>
      <w:r w:rsidRPr="00190912">
        <w:rPr>
          <w:rFonts w:ascii="Arial" w:hAnsi="Arial" w:cs="Arial"/>
          <w:sz w:val="24"/>
          <w:szCs w:val="24"/>
        </w:rPr>
        <w:t xml:space="preserve"> </w:t>
      </w:r>
      <w:proofErr w:type="gramStart"/>
      <w:r w:rsidRPr="00190912">
        <w:rPr>
          <w:rFonts w:ascii="Arial" w:hAnsi="Arial" w:cs="Arial"/>
          <w:sz w:val="24"/>
          <w:szCs w:val="24"/>
        </w:rPr>
        <w:t>Многу бранители на “преценетите” објаснувања се сложуваат дека динамиката беше водена од приватниот сектор, а не од дефицитот на јавниот сектор.</w:t>
      </w:r>
      <w:proofErr w:type="gramEnd"/>
      <w:r w:rsidRPr="00190912">
        <w:rPr>
          <w:rFonts w:ascii="Arial" w:hAnsi="Arial" w:cs="Arial"/>
          <w:sz w:val="24"/>
          <w:szCs w:val="24"/>
        </w:rPr>
        <w:t xml:space="preserve"> Како што е заб</w:t>
      </w:r>
      <w:r w:rsidR="00662F6B">
        <w:rPr>
          <w:rFonts w:ascii="Arial" w:hAnsi="Arial" w:cs="Arial"/>
          <w:sz w:val="24"/>
          <w:szCs w:val="24"/>
        </w:rPr>
        <w:t>ележано погоре, некои забележ</w:t>
      </w:r>
      <w:r w:rsidR="00662F6B">
        <w:rPr>
          <w:rFonts w:ascii="Arial" w:hAnsi="Arial" w:cs="Arial"/>
          <w:sz w:val="24"/>
          <w:szCs w:val="24"/>
          <w:lang w:val="mk-MK"/>
        </w:rPr>
        <w:t>аа</w:t>
      </w:r>
      <w:r w:rsidRPr="00190912">
        <w:rPr>
          <w:rFonts w:ascii="Arial" w:hAnsi="Arial" w:cs="Arial"/>
          <w:sz w:val="24"/>
          <w:szCs w:val="24"/>
        </w:rPr>
        <w:t xml:space="preserve"> дека неуспехот да се затегне фискалната политика во 1994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како одговор на почетниот притисок на девизниот курс</w:t>
      </w:r>
      <w:r w:rsidR="00662F6B">
        <w:rPr>
          <w:rFonts w:ascii="Arial" w:hAnsi="Arial" w:cs="Arial"/>
          <w:sz w:val="24"/>
          <w:szCs w:val="24"/>
          <w:lang w:val="mk-MK"/>
        </w:rPr>
        <w:t>,</w:t>
      </w:r>
      <w:r w:rsidRPr="00190912">
        <w:rPr>
          <w:rFonts w:ascii="Arial" w:hAnsi="Arial" w:cs="Arial"/>
          <w:sz w:val="24"/>
          <w:szCs w:val="24"/>
        </w:rPr>
        <w:t xml:space="preserve"> беше дополнителен фактор на Мексичката криза. Во иста насока, Bjér and </w:t>
      </w:r>
      <w:proofErr w:type="gramStart"/>
      <w:r w:rsidRPr="00190912">
        <w:rPr>
          <w:rFonts w:ascii="Arial" w:hAnsi="Arial" w:cs="Arial"/>
          <w:sz w:val="24"/>
          <w:szCs w:val="24"/>
        </w:rPr>
        <w:t>del</w:t>
      </w:r>
      <w:proofErr w:type="gramEnd"/>
      <w:r w:rsidRPr="00190912">
        <w:rPr>
          <w:rFonts w:ascii="Arial" w:hAnsi="Arial" w:cs="Arial"/>
          <w:sz w:val="24"/>
          <w:szCs w:val="24"/>
        </w:rPr>
        <w:t xml:space="preserve"> Castillo (1998)</w:t>
      </w:r>
      <w:r w:rsidR="00662F6B">
        <w:rPr>
          <w:rFonts w:ascii="Arial" w:hAnsi="Arial" w:cs="Arial"/>
          <w:sz w:val="24"/>
          <w:szCs w:val="24"/>
          <w:lang w:val="mk-MK"/>
        </w:rPr>
        <w:t xml:space="preserve"> </w:t>
      </w:r>
      <w:r w:rsidRPr="00190912">
        <w:rPr>
          <w:rFonts w:ascii="Arial" w:hAnsi="Arial" w:cs="Arial"/>
          <w:sz w:val="24"/>
          <w:szCs w:val="24"/>
        </w:rPr>
        <w:t>согледаа дека зголемениот пораст во кредитирањето на развојните банки во државна сопственост (незаробени во конвенционалните мерки на дефицитот од тоа време), ја влоши експанзијата на домашните кредити во 1994</w:t>
      </w:r>
      <w:r w:rsidR="00361EA2">
        <w:rPr>
          <w:rFonts w:ascii="Arial" w:hAnsi="Arial" w:cs="Arial"/>
          <w:sz w:val="24"/>
          <w:szCs w:val="24"/>
          <w:lang w:val="mk-MK"/>
        </w:rPr>
        <w:t xml:space="preserve"> </w:t>
      </w:r>
      <w:r w:rsidRPr="00190912">
        <w:rPr>
          <w:rFonts w:ascii="Arial" w:hAnsi="Arial" w:cs="Arial"/>
          <w:sz w:val="24"/>
          <w:szCs w:val="24"/>
        </w:rPr>
        <w:t xml:space="preserve">год. </w:t>
      </w:r>
      <w:r w:rsidR="00662F6B">
        <w:rPr>
          <w:rFonts w:ascii="Arial" w:hAnsi="Arial" w:cs="Arial"/>
          <w:sz w:val="24"/>
          <w:szCs w:val="24"/>
          <w:lang w:val="mk-MK"/>
        </w:rPr>
        <w:t>Завземајќи</w:t>
      </w:r>
      <w:r w:rsidRPr="00190912">
        <w:rPr>
          <w:rFonts w:ascii="Arial" w:hAnsi="Arial" w:cs="Arial"/>
          <w:sz w:val="24"/>
          <w:szCs w:val="24"/>
        </w:rPr>
        <w:t xml:space="preserve"> долгорочна перспектива, Kalter and Ribas (1999) забележале дека значителното зголемување </w:t>
      </w:r>
      <w:r w:rsidR="00662F6B">
        <w:rPr>
          <w:rFonts w:ascii="Arial" w:hAnsi="Arial" w:cs="Arial"/>
          <w:sz w:val="24"/>
          <w:szCs w:val="24"/>
          <w:lang w:val="mk-MK"/>
        </w:rPr>
        <w:t>на</w:t>
      </w:r>
      <w:r w:rsidRPr="00190912">
        <w:rPr>
          <w:rFonts w:ascii="Arial" w:hAnsi="Arial" w:cs="Arial"/>
          <w:sz w:val="24"/>
          <w:szCs w:val="24"/>
        </w:rPr>
        <w:t xml:space="preserve"> нивото на државни трошоци (финансирано преку повисоките даноци и оттука не одразувајќи зголемен дефицит) за време на 1987-94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xml:space="preserve"> </w:t>
      </w:r>
      <w:proofErr w:type="gramStart"/>
      <w:r w:rsidRPr="00190912">
        <w:rPr>
          <w:rFonts w:ascii="Arial" w:hAnsi="Arial" w:cs="Arial"/>
          <w:sz w:val="24"/>
          <w:szCs w:val="24"/>
        </w:rPr>
        <w:t>ги</w:t>
      </w:r>
      <w:proofErr w:type="gramEnd"/>
      <w:r w:rsidRPr="00190912">
        <w:rPr>
          <w:rFonts w:ascii="Arial" w:hAnsi="Arial" w:cs="Arial"/>
          <w:sz w:val="24"/>
          <w:szCs w:val="24"/>
        </w:rPr>
        <w:t xml:space="preserve"> зголемиле трошоците за производство во приватниот</w:t>
      </w:r>
      <w:r w:rsidR="00662F6B">
        <w:rPr>
          <w:rFonts w:ascii="Arial" w:hAnsi="Arial" w:cs="Arial"/>
          <w:sz w:val="24"/>
          <w:szCs w:val="24"/>
        </w:rPr>
        <w:t xml:space="preserve"> сектор. </w:t>
      </w:r>
      <w:proofErr w:type="gramStart"/>
      <w:r w:rsidR="00662F6B">
        <w:rPr>
          <w:rFonts w:ascii="Arial" w:hAnsi="Arial" w:cs="Arial"/>
          <w:sz w:val="24"/>
          <w:szCs w:val="24"/>
        </w:rPr>
        <w:t>Со фиксен девизен курс</w:t>
      </w:r>
      <w:r w:rsidR="00662F6B">
        <w:rPr>
          <w:rFonts w:ascii="Arial" w:hAnsi="Arial" w:cs="Arial"/>
          <w:sz w:val="24"/>
          <w:szCs w:val="24"/>
          <w:lang w:val="mk-MK"/>
        </w:rPr>
        <w:t>,</w:t>
      </w:r>
      <w:r w:rsidRPr="00190912">
        <w:rPr>
          <w:rFonts w:ascii="Arial" w:hAnsi="Arial" w:cs="Arial"/>
          <w:sz w:val="24"/>
          <w:szCs w:val="24"/>
        </w:rPr>
        <w:t xml:space="preserve"> релативните цени на неразменливите стоки и услуги </w:t>
      </w:r>
      <w:r w:rsidR="00662F6B">
        <w:rPr>
          <w:rFonts w:ascii="Arial" w:hAnsi="Arial" w:cs="Arial"/>
          <w:sz w:val="24"/>
          <w:szCs w:val="24"/>
          <w:lang w:val="mk-MK"/>
        </w:rPr>
        <w:t>започнале да растат</w:t>
      </w:r>
      <w:r w:rsidRPr="00190912">
        <w:rPr>
          <w:rFonts w:ascii="Arial" w:hAnsi="Arial" w:cs="Arial"/>
          <w:sz w:val="24"/>
          <w:szCs w:val="24"/>
        </w:rPr>
        <w:t xml:space="preserve">, </w:t>
      </w:r>
      <w:r w:rsidR="00662F6B">
        <w:rPr>
          <w:rFonts w:ascii="Arial" w:hAnsi="Arial" w:cs="Arial"/>
          <w:sz w:val="24"/>
          <w:szCs w:val="24"/>
          <w:lang w:val="mk-MK"/>
        </w:rPr>
        <w:t xml:space="preserve">со што </w:t>
      </w:r>
      <w:r w:rsidRPr="00190912">
        <w:rPr>
          <w:rFonts w:ascii="Arial" w:hAnsi="Arial" w:cs="Arial"/>
          <w:sz w:val="24"/>
          <w:szCs w:val="24"/>
        </w:rPr>
        <w:t xml:space="preserve">поголем трошок се пренесе во овој сектор </w:t>
      </w:r>
      <w:r w:rsidR="00662F6B">
        <w:rPr>
          <w:rFonts w:ascii="Arial" w:hAnsi="Arial" w:cs="Arial"/>
          <w:sz w:val="24"/>
          <w:szCs w:val="24"/>
          <w:lang w:val="mk-MK"/>
        </w:rPr>
        <w:t>за разлика од</w:t>
      </w:r>
      <w:r w:rsidRPr="00190912">
        <w:rPr>
          <w:rFonts w:ascii="Arial" w:hAnsi="Arial" w:cs="Arial"/>
          <w:sz w:val="24"/>
          <w:szCs w:val="24"/>
        </w:rPr>
        <w:t xml:space="preserve"> трговскиот сектор, </w:t>
      </w:r>
      <w:r w:rsidR="00361EA2">
        <w:rPr>
          <w:rFonts w:ascii="Arial" w:hAnsi="Arial" w:cs="Arial"/>
          <w:sz w:val="24"/>
          <w:szCs w:val="24"/>
          <w:lang w:val="mk-MK"/>
        </w:rPr>
        <w:t xml:space="preserve">притоа </w:t>
      </w:r>
      <w:r w:rsidRPr="00190912">
        <w:rPr>
          <w:rFonts w:ascii="Arial" w:hAnsi="Arial" w:cs="Arial"/>
          <w:sz w:val="24"/>
          <w:szCs w:val="24"/>
        </w:rPr>
        <w:t xml:space="preserve">давајќи допринос во </w:t>
      </w:r>
      <w:r w:rsidR="00361EA2">
        <w:rPr>
          <w:rFonts w:ascii="Arial" w:hAnsi="Arial" w:cs="Arial"/>
          <w:sz w:val="24"/>
          <w:szCs w:val="24"/>
          <w:lang w:val="mk-MK"/>
        </w:rPr>
        <w:t xml:space="preserve">форма на </w:t>
      </w:r>
      <w:r w:rsidRPr="00190912">
        <w:rPr>
          <w:rFonts w:ascii="Arial" w:hAnsi="Arial" w:cs="Arial"/>
          <w:sz w:val="24"/>
          <w:szCs w:val="24"/>
        </w:rPr>
        <w:t>реална апресијација.</w:t>
      </w:r>
      <w:proofErr w:type="gramEnd"/>
      <w:r w:rsidR="00170F10">
        <w:rPr>
          <w:rStyle w:val="FootnoteReference"/>
          <w:rFonts w:ascii="Arial" w:hAnsi="Arial" w:cs="Arial"/>
          <w:sz w:val="24"/>
          <w:szCs w:val="24"/>
        </w:rPr>
        <w:footnoteReference w:id="4"/>
      </w:r>
    </w:p>
    <w:p w:rsidR="00190912" w:rsidRPr="009042D7" w:rsidRDefault="00190912" w:rsidP="00190912">
      <w:pPr>
        <w:spacing w:line="240" w:lineRule="auto"/>
        <w:jc w:val="both"/>
        <w:rPr>
          <w:rFonts w:ascii="Arial" w:hAnsi="Arial" w:cs="Arial"/>
          <w:sz w:val="24"/>
          <w:szCs w:val="24"/>
          <w:lang w:val="mk-MK"/>
        </w:rPr>
      </w:pPr>
      <w:r w:rsidRPr="00190912">
        <w:rPr>
          <w:rFonts w:ascii="Arial" w:hAnsi="Arial" w:cs="Arial"/>
          <w:sz w:val="24"/>
          <w:szCs w:val="24"/>
        </w:rPr>
        <w:tab/>
      </w:r>
      <w:proofErr w:type="gramStart"/>
      <w:r w:rsidRPr="00190912">
        <w:rPr>
          <w:rFonts w:ascii="Arial" w:hAnsi="Arial" w:cs="Arial"/>
          <w:sz w:val="24"/>
          <w:szCs w:val="24"/>
        </w:rPr>
        <w:t>Јавниот долг и неговото менаџирање одиграа голема улога во кризата.</w:t>
      </w:r>
      <w:proofErr w:type="gramEnd"/>
      <w:r w:rsidRPr="00190912">
        <w:rPr>
          <w:rFonts w:ascii="Arial" w:hAnsi="Arial" w:cs="Arial"/>
          <w:sz w:val="24"/>
          <w:szCs w:val="24"/>
        </w:rPr>
        <w:t xml:space="preserve"> </w:t>
      </w:r>
      <w:proofErr w:type="gramStart"/>
      <w:r w:rsidRPr="00190912">
        <w:rPr>
          <w:rFonts w:ascii="Arial" w:hAnsi="Arial" w:cs="Arial"/>
          <w:sz w:val="24"/>
          <w:szCs w:val="24"/>
        </w:rPr>
        <w:t>Ова не беше многу поврзано со нивото на вкупен долг, кој се намали за некои 40 процентни поени од БДП помеѓу 1985</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proofErr w:type="gramEnd"/>
      <w:r w:rsidRPr="00190912">
        <w:rPr>
          <w:rFonts w:ascii="Arial" w:hAnsi="Arial" w:cs="Arial"/>
          <w:sz w:val="24"/>
          <w:szCs w:val="24"/>
        </w:rPr>
        <w:t xml:space="preserve"> </w:t>
      </w:r>
      <w:proofErr w:type="gramStart"/>
      <w:r w:rsidRPr="00190912">
        <w:rPr>
          <w:rFonts w:ascii="Arial" w:hAnsi="Arial" w:cs="Arial"/>
          <w:sz w:val="24"/>
          <w:szCs w:val="24"/>
        </w:rPr>
        <w:t>и</w:t>
      </w:r>
      <w:proofErr w:type="gramEnd"/>
      <w:r w:rsidRPr="00190912">
        <w:rPr>
          <w:rFonts w:ascii="Arial" w:hAnsi="Arial" w:cs="Arial"/>
          <w:sz w:val="24"/>
          <w:szCs w:val="24"/>
        </w:rPr>
        <w:t xml:space="preserve"> 1994</w:t>
      </w:r>
      <w:r w:rsidR="00361EA2">
        <w:rPr>
          <w:rFonts w:ascii="Arial" w:hAnsi="Arial" w:cs="Arial"/>
          <w:sz w:val="24"/>
          <w:szCs w:val="24"/>
          <w:lang w:val="mk-MK"/>
        </w:rPr>
        <w:t xml:space="preserve"> </w:t>
      </w:r>
      <w:r w:rsidRPr="00190912">
        <w:rPr>
          <w:rFonts w:ascii="Arial" w:hAnsi="Arial" w:cs="Arial"/>
          <w:sz w:val="24"/>
          <w:szCs w:val="24"/>
        </w:rPr>
        <w:t>г</w:t>
      </w:r>
      <w:r w:rsidR="00E10741">
        <w:rPr>
          <w:rFonts w:ascii="Arial" w:hAnsi="Arial" w:cs="Arial"/>
          <w:sz w:val="24"/>
          <w:szCs w:val="24"/>
        </w:rPr>
        <w:t>од</w:t>
      </w:r>
      <w:r w:rsidR="00361EA2">
        <w:rPr>
          <w:rFonts w:ascii="Arial" w:hAnsi="Arial" w:cs="Arial"/>
          <w:sz w:val="24"/>
          <w:szCs w:val="24"/>
          <w:lang w:val="mk-MK"/>
        </w:rPr>
        <w:t>.</w:t>
      </w:r>
      <w:r w:rsidR="00E10741">
        <w:rPr>
          <w:rFonts w:ascii="Arial" w:hAnsi="Arial" w:cs="Arial"/>
          <w:sz w:val="24"/>
          <w:szCs w:val="24"/>
        </w:rPr>
        <w:t>, туку повеќе со намалувањет</w:t>
      </w:r>
      <w:r w:rsidR="00E10741">
        <w:rPr>
          <w:rFonts w:ascii="Arial" w:hAnsi="Arial" w:cs="Arial"/>
          <w:sz w:val="24"/>
          <w:szCs w:val="24"/>
          <w:lang w:val="mk-MK"/>
        </w:rPr>
        <w:t xml:space="preserve">о </w:t>
      </w:r>
      <w:r w:rsidRPr="00190912">
        <w:rPr>
          <w:rFonts w:ascii="Arial" w:hAnsi="Arial" w:cs="Arial"/>
          <w:sz w:val="24"/>
          <w:szCs w:val="24"/>
        </w:rPr>
        <w:t>на рокот на доспевање за време на 1992-94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xml:space="preserve"> </w:t>
      </w:r>
      <w:proofErr w:type="gramStart"/>
      <w:r w:rsidRPr="00190912">
        <w:rPr>
          <w:rFonts w:ascii="Arial" w:hAnsi="Arial" w:cs="Arial"/>
          <w:sz w:val="24"/>
          <w:szCs w:val="24"/>
        </w:rPr>
        <w:t>и</w:t>
      </w:r>
      <w:proofErr w:type="gramEnd"/>
      <w:r w:rsidRPr="00190912">
        <w:rPr>
          <w:rFonts w:ascii="Arial" w:hAnsi="Arial" w:cs="Arial"/>
          <w:sz w:val="24"/>
          <w:szCs w:val="24"/>
        </w:rPr>
        <w:t xml:space="preserve"> оттука </w:t>
      </w:r>
      <w:r w:rsidRPr="00190912">
        <w:rPr>
          <w:rFonts w:ascii="Arial" w:hAnsi="Arial" w:cs="Arial"/>
          <w:sz w:val="24"/>
          <w:szCs w:val="24"/>
        </w:rPr>
        <w:lastRenderedPageBreak/>
        <w:t>постојаните притисоци, остриот пораст во доларски - деномираниот долг (1994) и порастот на краткорочниот долг во сооднос со резервите.</w:t>
      </w:r>
    </w:p>
    <w:p w:rsidR="00190912" w:rsidRPr="00190912" w:rsidRDefault="00190912" w:rsidP="00190912">
      <w:pPr>
        <w:pStyle w:val="ListParagraph"/>
        <w:spacing w:line="240" w:lineRule="auto"/>
        <w:ind w:left="960"/>
        <w:jc w:val="both"/>
        <w:rPr>
          <w:rFonts w:ascii="Arial" w:hAnsi="Arial" w:cs="Arial"/>
          <w:szCs w:val="24"/>
          <w:lang w:val="en-US"/>
        </w:rPr>
      </w:pPr>
    </w:p>
    <w:p w:rsidR="00190912" w:rsidRPr="00361EA2" w:rsidRDefault="00190912" w:rsidP="00361EA2">
      <w:pPr>
        <w:pStyle w:val="ListParagraph"/>
        <w:numPr>
          <w:ilvl w:val="0"/>
          <w:numId w:val="3"/>
        </w:numPr>
        <w:spacing w:line="240" w:lineRule="auto"/>
        <w:ind w:left="426"/>
        <w:jc w:val="center"/>
        <w:rPr>
          <w:rFonts w:ascii="Arial" w:hAnsi="Arial" w:cs="Arial"/>
          <w:b/>
          <w:szCs w:val="24"/>
        </w:rPr>
      </w:pPr>
      <w:r w:rsidRPr="00361EA2">
        <w:rPr>
          <w:rFonts w:ascii="Arial" w:hAnsi="Arial" w:cs="Arial"/>
          <w:b/>
          <w:szCs w:val="24"/>
        </w:rPr>
        <w:t>Индикаторите за фискална ранливост</w:t>
      </w:r>
    </w:p>
    <w:p w:rsidR="00190912" w:rsidRPr="00190912" w:rsidRDefault="00190912" w:rsidP="00190912">
      <w:pPr>
        <w:spacing w:line="240" w:lineRule="auto"/>
        <w:jc w:val="both"/>
        <w:rPr>
          <w:rFonts w:ascii="Arial" w:hAnsi="Arial" w:cs="Arial"/>
          <w:sz w:val="24"/>
          <w:szCs w:val="24"/>
        </w:rPr>
      </w:pPr>
      <w:r w:rsidRPr="00190912">
        <w:rPr>
          <w:rFonts w:ascii="Arial" w:hAnsi="Arial" w:cs="Arial"/>
          <w:sz w:val="24"/>
          <w:szCs w:val="24"/>
        </w:rPr>
        <w:tab/>
        <w:t>Ова</w:t>
      </w:r>
      <w:r w:rsidR="00E10741">
        <w:rPr>
          <w:rFonts w:ascii="Arial" w:hAnsi="Arial" w:cs="Arial"/>
          <w:sz w:val="24"/>
          <w:szCs w:val="24"/>
        </w:rPr>
        <w:t>а криза има малку или ниеден по</w:t>
      </w:r>
      <w:r w:rsidRPr="00190912">
        <w:rPr>
          <w:rFonts w:ascii="Arial" w:hAnsi="Arial" w:cs="Arial"/>
          <w:sz w:val="24"/>
          <w:szCs w:val="24"/>
        </w:rPr>
        <w:t>к</w:t>
      </w:r>
      <w:r w:rsidR="00E10741">
        <w:rPr>
          <w:rFonts w:ascii="Arial" w:hAnsi="Arial" w:cs="Arial"/>
          <w:sz w:val="24"/>
          <w:szCs w:val="24"/>
          <w:lang w:val="mk-MK"/>
        </w:rPr>
        <w:t>а</w:t>
      </w:r>
      <w:r w:rsidRPr="00190912">
        <w:rPr>
          <w:rFonts w:ascii="Arial" w:hAnsi="Arial" w:cs="Arial"/>
          <w:sz w:val="24"/>
          <w:szCs w:val="24"/>
        </w:rPr>
        <w:t>зател на фискална ранливост: дефицитот објавен од</w:t>
      </w:r>
      <w:r w:rsidR="00E10741">
        <w:rPr>
          <w:rFonts w:ascii="Arial" w:hAnsi="Arial" w:cs="Arial"/>
          <w:sz w:val="24"/>
          <w:szCs w:val="24"/>
        </w:rPr>
        <w:t xml:space="preserve"> страна на органите има</w:t>
      </w:r>
      <w:r w:rsidR="00E10741">
        <w:rPr>
          <w:rFonts w:ascii="Arial" w:hAnsi="Arial" w:cs="Arial"/>
          <w:sz w:val="24"/>
          <w:szCs w:val="24"/>
          <w:lang w:val="mk-MK"/>
        </w:rPr>
        <w:t>ше</w:t>
      </w:r>
      <w:r w:rsidRPr="00190912">
        <w:rPr>
          <w:rFonts w:ascii="Arial" w:hAnsi="Arial" w:cs="Arial"/>
          <w:sz w:val="24"/>
          <w:szCs w:val="24"/>
        </w:rPr>
        <w:t xml:space="preserve"> силен тренд на опаѓање од 1987</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xml:space="preserve"> </w:t>
      </w:r>
      <w:proofErr w:type="gramStart"/>
      <w:r w:rsidRPr="00190912">
        <w:rPr>
          <w:rFonts w:ascii="Arial" w:hAnsi="Arial" w:cs="Arial"/>
          <w:sz w:val="24"/>
          <w:szCs w:val="24"/>
        </w:rPr>
        <w:t>и</w:t>
      </w:r>
      <w:proofErr w:type="gramEnd"/>
      <w:r w:rsidRPr="00190912">
        <w:rPr>
          <w:rFonts w:ascii="Arial" w:hAnsi="Arial" w:cs="Arial"/>
          <w:sz w:val="24"/>
          <w:szCs w:val="24"/>
        </w:rPr>
        <w:t xml:space="preserve"> беше блиску до биланс помеѓу 1991-93</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 а</w:t>
      </w:r>
      <w:r w:rsidRPr="00190912">
        <w:rPr>
          <w:rFonts w:ascii="Arial" w:hAnsi="Arial" w:cs="Arial"/>
          <w:sz w:val="24"/>
          <w:szCs w:val="24"/>
        </w:rPr>
        <w:t xml:space="preserve"> пока</w:t>
      </w:r>
      <w:r w:rsidR="00E10741">
        <w:rPr>
          <w:rFonts w:ascii="Arial" w:hAnsi="Arial" w:cs="Arial"/>
          <w:sz w:val="24"/>
          <w:szCs w:val="24"/>
        </w:rPr>
        <w:t>зателот за долг/БДП се намалува</w:t>
      </w:r>
      <w:r w:rsidR="00E10741">
        <w:rPr>
          <w:rFonts w:ascii="Arial" w:hAnsi="Arial" w:cs="Arial"/>
          <w:sz w:val="24"/>
          <w:szCs w:val="24"/>
          <w:lang w:val="mk-MK"/>
        </w:rPr>
        <w:t>ше</w:t>
      </w:r>
      <w:r w:rsidRPr="00190912">
        <w:rPr>
          <w:rFonts w:ascii="Arial" w:hAnsi="Arial" w:cs="Arial"/>
          <w:sz w:val="24"/>
          <w:szCs w:val="24"/>
        </w:rPr>
        <w:t xml:space="preserve"> во тој период. Сепак, официјалниот дефицит го разоткрил “вистинскиот” дефицит во нек</w:t>
      </w:r>
      <w:r w:rsidR="00E10741">
        <w:rPr>
          <w:rFonts w:ascii="Arial" w:hAnsi="Arial" w:cs="Arial"/>
          <w:sz w:val="24"/>
          <w:szCs w:val="24"/>
        </w:rPr>
        <w:t>олку димензии – тој ги вклучува</w:t>
      </w:r>
      <w:r w:rsidR="00E10741">
        <w:rPr>
          <w:rFonts w:ascii="Arial" w:hAnsi="Arial" w:cs="Arial"/>
          <w:sz w:val="24"/>
          <w:szCs w:val="24"/>
          <w:lang w:val="mk-MK"/>
        </w:rPr>
        <w:t>ш</w:t>
      </w:r>
      <w:r w:rsidRPr="00190912">
        <w:rPr>
          <w:rFonts w:ascii="Arial" w:hAnsi="Arial" w:cs="Arial"/>
          <w:sz w:val="24"/>
          <w:szCs w:val="24"/>
        </w:rPr>
        <w:t xml:space="preserve">е приходите од приватизацијата, исклучените инвестициони трошења и квази - фискални активности - и мерките за прилагоден биланс објавени од страна на авторитетите, </w:t>
      </w:r>
      <w:r w:rsidR="00E10741">
        <w:rPr>
          <w:rFonts w:ascii="Arial" w:hAnsi="Arial" w:cs="Arial"/>
          <w:sz w:val="24"/>
          <w:szCs w:val="24"/>
          <w:lang w:val="mk-MK"/>
        </w:rPr>
        <w:t xml:space="preserve">кои </w:t>
      </w:r>
      <w:r w:rsidRPr="00190912">
        <w:rPr>
          <w:rFonts w:ascii="Arial" w:hAnsi="Arial" w:cs="Arial"/>
          <w:sz w:val="24"/>
          <w:szCs w:val="24"/>
        </w:rPr>
        <w:t>покажуваат стабилно зголемување на дефицитот за време на 1992-94</w:t>
      </w:r>
      <w:r w:rsidR="00361EA2">
        <w:rPr>
          <w:rFonts w:ascii="Arial" w:hAnsi="Arial" w:cs="Arial"/>
          <w:sz w:val="24"/>
          <w:szCs w:val="24"/>
          <w:lang w:val="mk-MK"/>
        </w:rPr>
        <w:t xml:space="preserve"> </w:t>
      </w:r>
      <w:r w:rsidRPr="00190912">
        <w:rPr>
          <w:rFonts w:ascii="Arial" w:hAnsi="Arial" w:cs="Arial"/>
          <w:sz w:val="24"/>
          <w:szCs w:val="24"/>
        </w:rPr>
        <w:t xml:space="preserve">год. </w:t>
      </w:r>
      <w:proofErr w:type="gramStart"/>
      <w:r w:rsidRPr="00190912">
        <w:rPr>
          <w:rFonts w:ascii="Arial" w:hAnsi="Arial" w:cs="Arial"/>
          <w:sz w:val="24"/>
          <w:szCs w:val="24"/>
        </w:rPr>
        <w:t>Мексичките кризи ги затекоа пазарите и многуте аналитичари изненадени.</w:t>
      </w:r>
      <w:proofErr w:type="gramEnd"/>
      <w:r w:rsidR="00F14E18">
        <w:rPr>
          <w:rStyle w:val="FootnoteReference"/>
          <w:rFonts w:ascii="Arial" w:hAnsi="Arial" w:cs="Arial"/>
          <w:sz w:val="24"/>
          <w:szCs w:val="24"/>
        </w:rPr>
        <w:footnoteReference w:id="5"/>
      </w:r>
      <w:r w:rsidR="00170F10">
        <w:rPr>
          <w:rFonts w:ascii="Arial" w:hAnsi="Arial" w:cs="Arial"/>
          <w:sz w:val="24"/>
          <w:szCs w:val="24"/>
        </w:rPr>
        <w:t xml:space="preserve"> </w:t>
      </w:r>
      <w:r w:rsidRPr="00190912">
        <w:rPr>
          <w:rFonts w:ascii="Arial" w:hAnsi="Arial" w:cs="Arial"/>
          <w:sz w:val="24"/>
          <w:szCs w:val="24"/>
        </w:rPr>
        <w:t>Мерките за ризик базирани на разлики во камати –</w:t>
      </w:r>
      <w:r w:rsidR="00361EA2">
        <w:rPr>
          <w:rFonts w:ascii="Arial" w:hAnsi="Arial" w:cs="Arial"/>
          <w:sz w:val="24"/>
          <w:szCs w:val="24"/>
          <w:lang w:val="mk-MK"/>
        </w:rPr>
        <w:t xml:space="preserve"> </w:t>
      </w:r>
      <w:r w:rsidRPr="00E10741">
        <w:rPr>
          <w:rFonts w:ascii="Arial" w:hAnsi="Arial" w:cs="Arial"/>
          <w:b/>
          <w:i/>
          <w:sz w:val="24"/>
          <w:szCs w:val="24"/>
        </w:rPr>
        <w:t xml:space="preserve">премијата за девалвација </w:t>
      </w:r>
      <w:r w:rsidRPr="00190912">
        <w:rPr>
          <w:rFonts w:ascii="Arial" w:hAnsi="Arial" w:cs="Arial"/>
          <w:sz w:val="24"/>
          <w:szCs w:val="24"/>
        </w:rPr>
        <w:t xml:space="preserve">мерена преку разликата во каматните стапки на Cetes and Tesobonos, како и </w:t>
      </w:r>
      <w:r w:rsidRPr="00E10741">
        <w:rPr>
          <w:rFonts w:ascii="Arial" w:hAnsi="Arial" w:cs="Arial"/>
          <w:b/>
          <w:i/>
          <w:sz w:val="24"/>
          <w:szCs w:val="24"/>
        </w:rPr>
        <w:t>премијата за национален ризик</w:t>
      </w:r>
      <w:r w:rsidR="00361EA2">
        <w:rPr>
          <w:rFonts w:ascii="Arial" w:hAnsi="Arial" w:cs="Arial"/>
          <w:b/>
          <w:i/>
          <w:sz w:val="24"/>
          <w:szCs w:val="24"/>
          <w:lang w:val="mk-MK"/>
        </w:rPr>
        <w:t>,</w:t>
      </w:r>
      <w:r w:rsidRPr="00190912">
        <w:rPr>
          <w:rFonts w:ascii="Arial" w:hAnsi="Arial" w:cs="Arial"/>
          <w:sz w:val="24"/>
          <w:szCs w:val="24"/>
        </w:rPr>
        <w:t xml:space="preserve"> мерена преку разликата во Tesobono и каматните стапки за американските државни записи – се зголемија силно само во четвртиот квартал од 1994</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00361EA2">
        <w:rPr>
          <w:rFonts w:ascii="Arial" w:hAnsi="Arial" w:cs="Arial"/>
          <w:sz w:val="24"/>
          <w:szCs w:val="24"/>
        </w:rPr>
        <w:t xml:space="preserve"> (</w:t>
      </w:r>
      <w:proofErr w:type="gramStart"/>
      <w:r w:rsidRPr="00190912">
        <w:rPr>
          <w:rFonts w:ascii="Arial" w:hAnsi="Arial" w:cs="Arial"/>
          <w:sz w:val="24"/>
          <w:szCs w:val="24"/>
        </w:rPr>
        <w:t>само</w:t>
      </w:r>
      <w:proofErr w:type="gramEnd"/>
      <w:r w:rsidRPr="00190912">
        <w:rPr>
          <w:rFonts w:ascii="Arial" w:hAnsi="Arial" w:cs="Arial"/>
          <w:sz w:val="24"/>
          <w:szCs w:val="24"/>
        </w:rPr>
        <w:t xml:space="preserve"> во раниот декември, 1994; види Edwards (1997).</w:t>
      </w:r>
    </w:p>
    <w:p w:rsidR="00190912" w:rsidRPr="00361EA2" w:rsidRDefault="00190912" w:rsidP="00361EA2">
      <w:pPr>
        <w:pStyle w:val="ListParagraph"/>
        <w:numPr>
          <w:ilvl w:val="0"/>
          <w:numId w:val="3"/>
        </w:numPr>
        <w:spacing w:line="240" w:lineRule="auto"/>
        <w:ind w:left="426"/>
        <w:jc w:val="center"/>
        <w:rPr>
          <w:rFonts w:ascii="Arial" w:hAnsi="Arial" w:cs="Arial"/>
          <w:b/>
          <w:szCs w:val="24"/>
        </w:rPr>
      </w:pPr>
      <w:r w:rsidRPr="00361EA2">
        <w:rPr>
          <w:rFonts w:ascii="Arial" w:hAnsi="Arial" w:cs="Arial"/>
          <w:b/>
          <w:szCs w:val="24"/>
        </w:rPr>
        <w:t>Какво беше фискалното влијание на кризата и како одговори фискалната политика?</w:t>
      </w:r>
    </w:p>
    <w:p w:rsidR="00190912" w:rsidRPr="00361EA2" w:rsidRDefault="00190912" w:rsidP="00361EA2">
      <w:pPr>
        <w:spacing w:line="240" w:lineRule="auto"/>
        <w:ind w:firstLine="720"/>
        <w:jc w:val="both"/>
        <w:rPr>
          <w:rFonts w:ascii="Arial" w:hAnsi="Arial" w:cs="Arial"/>
          <w:sz w:val="24"/>
          <w:szCs w:val="24"/>
          <w:lang w:val="mk-MK"/>
        </w:rPr>
      </w:pPr>
      <w:r w:rsidRPr="00190912">
        <w:rPr>
          <w:rFonts w:ascii="Arial" w:hAnsi="Arial" w:cs="Arial"/>
          <w:sz w:val="24"/>
          <w:szCs w:val="24"/>
        </w:rPr>
        <w:t>Оригиналната намера беше да се таргетира остварување на вкупен биланс од 1% од БДП во 1995</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 xml:space="preserve">, базиран на намалување во некаматните трошења. </w:t>
      </w:r>
      <w:proofErr w:type="gramStart"/>
      <w:r w:rsidRPr="00190912">
        <w:rPr>
          <w:rFonts w:ascii="Arial" w:hAnsi="Arial" w:cs="Arial"/>
          <w:sz w:val="24"/>
          <w:szCs w:val="24"/>
        </w:rPr>
        <w:t xml:space="preserve">Главната причина за ова затегнување беше </w:t>
      </w:r>
      <w:r w:rsidRPr="00190912">
        <w:rPr>
          <w:rFonts w:ascii="Arial" w:hAnsi="Arial" w:cs="Arial"/>
          <w:b/>
          <w:sz w:val="24"/>
          <w:szCs w:val="24"/>
        </w:rPr>
        <w:t>акутниот краткорочен финансиски проблем</w:t>
      </w:r>
      <w:r w:rsidR="00E10741">
        <w:rPr>
          <w:rFonts w:ascii="Arial" w:hAnsi="Arial" w:cs="Arial"/>
          <w:sz w:val="24"/>
          <w:szCs w:val="24"/>
          <w:lang w:val="mk-MK"/>
        </w:rPr>
        <w:t>.</w:t>
      </w:r>
      <w:proofErr w:type="gramEnd"/>
      <w:r w:rsidR="00E10741">
        <w:rPr>
          <w:rFonts w:ascii="Arial" w:hAnsi="Arial" w:cs="Arial"/>
          <w:sz w:val="24"/>
          <w:szCs w:val="24"/>
        </w:rPr>
        <w:t xml:space="preserve"> </w:t>
      </w:r>
      <w:r w:rsidR="00E10741">
        <w:rPr>
          <w:rFonts w:ascii="Arial" w:hAnsi="Arial" w:cs="Arial"/>
          <w:sz w:val="24"/>
          <w:szCs w:val="24"/>
          <w:lang w:val="mk-MK"/>
        </w:rPr>
        <w:t>В</w:t>
      </w:r>
      <w:r w:rsidRPr="00190912">
        <w:rPr>
          <w:rFonts w:ascii="Arial" w:hAnsi="Arial" w:cs="Arial"/>
          <w:sz w:val="24"/>
          <w:szCs w:val="24"/>
        </w:rPr>
        <w:t xml:space="preserve">сушност, среднорочната одржливост не беше главна грижа. </w:t>
      </w:r>
      <w:proofErr w:type="gramStart"/>
      <w:r w:rsidRPr="00190912">
        <w:rPr>
          <w:rFonts w:ascii="Arial" w:hAnsi="Arial" w:cs="Arial"/>
          <w:sz w:val="24"/>
          <w:szCs w:val="24"/>
        </w:rPr>
        <w:t xml:space="preserve">Таргетираното затегнување беше поголемо отколку што беше потребно </w:t>
      </w:r>
      <w:r w:rsidR="00F4590E">
        <w:rPr>
          <w:rFonts w:ascii="Arial" w:hAnsi="Arial" w:cs="Arial"/>
          <w:sz w:val="24"/>
          <w:szCs w:val="24"/>
          <w:lang w:val="mk-MK"/>
        </w:rPr>
        <w:t xml:space="preserve">за </w:t>
      </w:r>
      <w:r w:rsidRPr="00190912">
        <w:rPr>
          <w:rFonts w:ascii="Arial" w:hAnsi="Arial" w:cs="Arial"/>
          <w:sz w:val="24"/>
          <w:szCs w:val="24"/>
        </w:rPr>
        <w:t>да го стабилизира долгот, но се процени потреба</w:t>
      </w:r>
      <w:r w:rsidR="00361EA2">
        <w:rPr>
          <w:rFonts w:ascii="Arial" w:hAnsi="Arial" w:cs="Arial"/>
          <w:sz w:val="24"/>
          <w:szCs w:val="24"/>
          <w:lang w:val="mk-MK"/>
        </w:rPr>
        <w:t>та</w:t>
      </w:r>
      <w:r w:rsidRPr="00190912">
        <w:rPr>
          <w:rFonts w:ascii="Arial" w:hAnsi="Arial" w:cs="Arial"/>
          <w:sz w:val="24"/>
          <w:szCs w:val="24"/>
        </w:rPr>
        <w:t xml:space="preserve"> за прилагодување на трошоците за реконструкција на финансискиот сектор (Ghosh, 2002).</w:t>
      </w:r>
      <w:proofErr w:type="gramEnd"/>
      <w:r w:rsidRPr="00190912">
        <w:rPr>
          <w:rFonts w:ascii="Arial" w:hAnsi="Arial" w:cs="Arial"/>
          <w:sz w:val="24"/>
          <w:szCs w:val="24"/>
        </w:rPr>
        <w:t xml:space="preserve"> </w:t>
      </w:r>
      <w:proofErr w:type="gramStart"/>
      <w:r w:rsidRPr="00190912">
        <w:rPr>
          <w:rFonts w:ascii="Arial" w:hAnsi="Arial" w:cs="Arial"/>
          <w:sz w:val="24"/>
          <w:szCs w:val="24"/>
        </w:rPr>
        <w:t>Сепак, пазарната доверба не се врати и капиталните одливи продолжија за време на првиот квартал од 1995</w:t>
      </w:r>
      <w:r w:rsidR="00361EA2">
        <w:rPr>
          <w:rFonts w:ascii="Arial" w:hAnsi="Arial" w:cs="Arial"/>
          <w:sz w:val="24"/>
          <w:szCs w:val="24"/>
          <w:lang w:val="mk-MK"/>
        </w:rPr>
        <w:t xml:space="preserve"> </w:t>
      </w:r>
      <w:r w:rsidRPr="00190912">
        <w:rPr>
          <w:rFonts w:ascii="Arial" w:hAnsi="Arial" w:cs="Arial"/>
          <w:sz w:val="24"/>
          <w:szCs w:val="24"/>
        </w:rPr>
        <w:t>год.</w:t>
      </w:r>
      <w:proofErr w:type="gramEnd"/>
      <w:r w:rsidR="00170F10">
        <w:rPr>
          <w:rStyle w:val="FootnoteReference"/>
          <w:rFonts w:ascii="Arial" w:hAnsi="Arial" w:cs="Arial"/>
          <w:sz w:val="24"/>
          <w:szCs w:val="24"/>
        </w:rPr>
        <w:footnoteReference w:id="6"/>
      </w:r>
      <w:r w:rsidR="00361EA2">
        <w:rPr>
          <w:rFonts w:ascii="Arial" w:hAnsi="Arial" w:cs="Arial"/>
          <w:sz w:val="24"/>
          <w:szCs w:val="24"/>
          <w:lang w:val="mk-MK"/>
        </w:rPr>
        <w:t xml:space="preserve"> </w:t>
      </w:r>
      <w:r w:rsidRPr="00190912">
        <w:rPr>
          <w:rFonts w:ascii="Arial" w:hAnsi="Arial" w:cs="Arial"/>
          <w:sz w:val="24"/>
          <w:szCs w:val="24"/>
        </w:rPr>
        <w:t xml:space="preserve">Примарниот таргетиран биланс беше затегнат за дополнителен 1% од БДП, базиран во голема мера на </w:t>
      </w:r>
      <w:r w:rsidRPr="00F4590E">
        <w:rPr>
          <w:rFonts w:ascii="Arial" w:hAnsi="Arial" w:cs="Arial"/>
          <w:b/>
          <w:sz w:val="24"/>
          <w:szCs w:val="24"/>
        </w:rPr>
        <w:t xml:space="preserve">порастот на ДДВ (VAT) </w:t>
      </w:r>
      <w:r w:rsidR="00A44A7B">
        <w:rPr>
          <w:rFonts w:ascii="Arial" w:hAnsi="Arial" w:cs="Arial"/>
          <w:b/>
          <w:sz w:val="24"/>
          <w:szCs w:val="24"/>
          <w:lang w:val="mk-MK"/>
        </w:rPr>
        <w:t xml:space="preserve">од 10% на 15 %, пораст на царините на одделни добра и услуги, намалување на јавните расходи од 10% </w:t>
      </w:r>
      <w:r w:rsidRPr="00F4590E">
        <w:rPr>
          <w:rFonts w:ascii="Arial" w:hAnsi="Arial" w:cs="Arial"/>
          <w:b/>
          <w:sz w:val="24"/>
          <w:szCs w:val="24"/>
        </w:rPr>
        <w:t>и дополнителните кратења во некаматните трошоци;</w:t>
      </w:r>
      <w:r w:rsidRPr="00190912">
        <w:rPr>
          <w:rFonts w:ascii="Arial" w:hAnsi="Arial" w:cs="Arial"/>
          <w:sz w:val="24"/>
          <w:szCs w:val="24"/>
        </w:rPr>
        <w:t xml:space="preserve"> неутрализирање на високи каматни трошоци, оставајќи го вкупниот биланс непроменет. </w:t>
      </w:r>
      <w:proofErr w:type="gramStart"/>
      <w:r w:rsidRPr="00190912">
        <w:rPr>
          <w:rFonts w:ascii="Arial" w:hAnsi="Arial" w:cs="Arial"/>
          <w:sz w:val="24"/>
          <w:szCs w:val="24"/>
        </w:rPr>
        <w:t>Во</w:t>
      </w:r>
      <w:r w:rsidR="00361EA2">
        <w:rPr>
          <w:rFonts w:ascii="Arial" w:hAnsi="Arial" w:cs="Arial"/>
          <w:sz w:val="24"/>
          <w:szCs w:val="24"/>
          <w:lang w:val="mk-MK"/>
        </w:rPr>
        <w:t>,</w:t>
      </w:r>
      <w:r w:rsidR="00361EA2">
        <w:rPr>
          <w:rFonts w:ascii="Arial" w:hAnsi="Arial" w:cs="Arial"/>
          <w:sz w:val="24"/>
          <w:szCs w:val="24"/>
        </w:rPr>
        <w:t xml:space="preserve"> исто</w:t>
      </w:r>
      <w:r w:rsidR="00361EA2">
        <w:rPr>
          <w:rFonts w:ascii="Arial" w:hAnsi="Arial" w:cs="Arial"/>
          <w:sz w:val="24"/>
          <w:szCs w:val="24"/>
          <w:lang w:val="mk-MK"/>
        </w:rPr>
        <w:t xml:space="preserve"> </w:t>
      </w:r>
      <w:r w:rsidRPr="00190912">
        <w:rPr>
          <w:rFonts w:ascii="Arial" w:hAnsi="Arial" w:cs="Arial"/>
          <w:sz w:val="24"/>
          <w:szCs w:val="24"/>
        </w:rPr>
        <w:t xml:space="preserve">време, </w:t>
      </w:r>
      <w:r w:rsidRPr="00190912">
        <w:rPr>
          <w:rFonts w:ascii="Arial" w:hAnsi="Arial" w:cs="Arial"/>
          <w:b/>
          <w:sz w:val="24"/>
          <w:szCs w:val="24"/>
        </w:rPr>
        <w:t>монетарната политика</w:t>
      </w:r>
      <w:r w:rsidRPr="00190912">
        <w:rPr>
          <w:rFonts w:ascii="Arial" w:hAnsi="Arial" w:cs="Arial"/>
          <w:sz w:val="24"/>
          <w:szCs w:val="24"/>
        </w:rPr>
        <w:t xml:space="preserve"> беше затегната и официјалниот пакет за финансирање зајакнат.</w:t>
      </w:r>
      <w:proofErr w:type="gramEnd"/>
      <w:r w:rsidRPr="00190912">
        <w:rPr>
          <w:rFonts w:ascii="Arial" w:hAnsi="Arial" w:cs="Arial"/>
          <w:sz w:val="24"/>
          <w:szCs w:val="24"/>
        </w:rPr>
        <w:t xml:space="preserve"> </w:t>
      </w:r>
      <w:r w:rsidR="00A44A7B">
        <w:rPr>
          <w:rFonts w:ascii="Arial" w:hAnsi="Arial" w:cs="Arial"/>
          <w:sz w:val="24"/>
          <w:szCs w:val="24"/>
          <w:lang w:val="mk-MK"/>
        </w:rPr>
        <w:t xml:space="preserve">Имено, монетарната политика требаше да ги апсорбира инфлаторните притисоци и да ја намали варијабилноста на девизниот курс. Централната банка имплементираше де факто рестриктивна монетарна политика која вклучуваше значителен пораст на номиналните и реалните каматни стапки. </w:t>
      </w:r>
      <w:r w:rsidR="00A44A7B">
        <w:rPr>
          <w:rFonts w:ascii="Arial" w:hAnsi="Arial" w:cs="Arial"/>
          <w:sz w:val="24"/>
          <w:szCs w:val="24"/>
          <w:lang w:val="mk-MK"/>
        </w:rPr>
        <w:lastRenderedPageBreak/>
        <w:t xml:space="preserve">Каматните стапки се оставија да бидат детерминирани од пазарните сили. Се поставија стриктни барања за </w:t>
      </w:r>
      <w:r w:rsidR="006646B6">
        <w:rPr>
          <w:rFonts w:ascii="Arial" w:hAnsi="Arial" w:cs="Arial"/>
          <w:sz w:val="24"/>
          <w:szCs w:val="24"/>
          <w:lang w:val="mk-MK"/>
        </w:rPr>
        <w:t xml:space="preserve">стапката </w:t>
      </w:r>
      <w:r w:rsidR="00361EA2">
        <w:rPr>
          <w:rFonts w:ascii="Arial" w:hAnsi="Arial" w:cs="Arial"/>
          <w:sz w:val="24"/>
          <w:szCs w:val="24"/>
          <w:lang w:val="mk-MK"/>
        </w:rPr>
        <w:t xml:space="preserve">на </w:t>
      </w:r>
      <w:r w:rsidR="00A44A7B">
        <w:rPr>
          <w:rFonts w:ascii="Arial" w:hAnsi="Arial" w:cs="Arial"/>
          <w:sz w:val="24"/>
          <w:szCs w:val="24"/>
          <w:lang w:val="mk-MK"/>
        </w:rPr>
        <w:t>задолжителна резерва.</w:t>
      </w:r>
      <w:r w:rsidR="006646B6">
        <w:rPr>
          <w:rFonts w:ascii="Arial" w:hAnsi="Arial" w:cs="Arial"/>
          <w:sz w:val="24"/>
          <w:szCs w:val="24"/>
          <w:lang w:val="mk-MK"/>
        </w:rPr>
        <w:t xml:space="preserve"> Централната банка постави ограничување во експанзијата на нето домашни кредити, што сигнализираше решителност дека нема повеќе да трпи натамошни валутни напади.</w:t>
      </w:r>
      <w:r w:rsidR="00A44A7B">
        <w:rPr>
          <w:rFonts w:ascii="Arial" w:hAnsi="Arial" w:cs="Arial"/>
          <w:sz w:val="24"/>
          <w:szCs w:val="24"/>
          <w:lang w:val="mk-MK"/>
        </w:rPr>
        <w:t xml:space="preserve"> </w:t>
      </w:r>
      <w:r w:rsidRPr="00190912">
        <w:rPr>
          <w:rFonts w:ascii="Arial" w:hAnsi="Arial" w:cs="Arial"/>
          <w:sz w:val="24"/>
          <w:szCs w:val="24"/>
        </w:rPr>
        <w:t xml:space="preserve">Овие мерки беа доволни да се сопре капиталниот одлив. </w:t>
      </w:r>
      <w:r w:rsidRPr="00F4590E">
        <w:rPr>
          <w:rFonts w:ascii="Arial" w:hAnsi="Arial" w:cs="Arial"/>
          <w:b/>
          <w:sz w:val="24"/>
          <w:szCs w:val="24"/>
        </w:rPr>
        <w:t>В</w:t>
      </w:r>
      <w:r w:rsidR="00361EA2">
        <w:rPr>
          <w:rFonts w:ascii="Arial" w:hAnsi="Arial" w:cs="Arial"/>
          <w:b/>
          <w:sz w:val="24"/>
          <w:szCs w:val="24"/>
        </w:rPr>
        <w:t xml:space="preserve">купниот фискален дефицит беше </w:t>
      </w:r>
      <w:r w:rsidR="00361EA2">
        <w:rPr>
          <w:rFonts w:ascii="Arial" w:hAnsi="Arial" w:cs="Arial"/>
          <w:b/>
          <w:sz w:val="24"/>
          <w:szCs w:val="24"/>
          <w:lang w:val="mk-MK"/>
        </w:rPr>
        <w:t>0,5</w:t>
      </w:r>
      <w:r w:rsidRPr="00F4590E">
        <w:rPr>
          <w:rFonts w:ascii="Arial" w:hAnsi="Arial" w:cs="Arial"/>
          <w:b/>
          <w:sz w:val="24"/>
          <w:szCs w:val="24"/>
        </w:rPr>
        <w:t>% од БДП во 1995</w:t>
      </w:r>
      <w:r w:rsidR="00361EA2">
        <w:rPr>
          <w:rFonts w:ascii="Arial" w:hAnsi="Arial" w:cs="Arial"/>
          <w:b/>
          <w:sz w:val="24"/>
          <w:szCs w:val="24"/>
          <w:lang w:val="mk-MK"/>
        </w:rPr>
        <w:t xml:space="preserve"> </w:t>
      </w:r>
      <w:r w:rsidRPr="00F4590E">
        <w:rPr>
          <w:rFonts w:ascii="Arial" w:hAnsi="Arial" w:cs="Arial"/>
          <w:b/>
          <w:sz w:val="24"/>
          <w:szCs w:val="24"/>
        </w:rPr>
        <w:t>година</w:t>
      </w:r>
      <w:r w:rsidR="00F4590E">
        <w:rPr>
          <w:rFonts w:ascii="Arial" w:hAnsi="Arial" w:cs="Arial"/>
          <w:sz w:val="24"/>
          <w:szCs w:val="24"/>
        </w:rPr>
        <w:t>, што пре</w:t>
      </w:r>
      <w:r w:rsidR="00F4590E">
        <w:rPr>
          <w:rFonts w:ascii="Arial" w:hAnsi="Arial" w:cs="Arial"/>
          <w:sz w:val="24"/>
          <w:szCs w:val="24"/>
          <w:lang w:val="mk-MK"/>
        </w:rPr>
        <w:t>ст</w:t>
      </w:r>
      <w:r w:rsidRPr="00190912">
        <w:rPr>
          <w:rFonts w:ascii="Arial" w:hAnsi="Arial" w:cs="Arial"/>
          <w:sz w:val="24"/>
          <w:szCs w:val="24"/>
        </w:rPr>
        <w:t>авува</w:t>
      </w:r>
      <w:r w:rsidR="00F4590E">
        <w:rPr>
          <w:rFonts w:ascii="Arial" w:hAnsi="Arial" w:cs="Arial"/>
          <w:sz w:val="24"/>
          <w:szCs w:val="24"/>
          <w:lang w:val="mk-MK"/>
        </w:rPr>
        <w:t>ше</w:t>
      </w:r>
      <w:r w:rsidRPr="00190912">
        <w:rPr>
          <w:rFonts w:ascii="Arial" w:hAnsi="Arial" w:cs="Arial"/>
          <w:sz w:val="24"/>
          <w:szCs w:val="24"/>
        </w:rPr>
        <w:t xml:space="preserve"> значително затегнување со оглед на дадените поголеми</w:t>
      </w:r>
      <w:r w:rsidR="00361EA2">
        <w:rPr>
          <w:rFonts w:ascii="Arial" w:hAnsi="Arial" w:cs="Arial"/>
          <w:sz w:val="24"/>
          <w:szCs w:val="24"/>
          <w:lang w:val="mk-MK"/>
        </w:rPr>
        <w:t>,</w:t>
      </w:r>
      <w:r w:rsidRPr="00190912">
        <w:rPr>
          <w:rFonts w:ascii="Arial" w:hAnsi="Arial" w:cs="Arial"/>
          <w:sz w:val="24"/>
          <w:szCs w:val="24"/>
        </w:rPr>
        <w:t xml:space="preserve"> отколку што се очекуваше</w:t>
      </w:r>
      <w:r w:rsidR="00361EA2">
        <w:rPr>
          <w:rFonts w:ascii="Arial" w:hAnsi="Arial" w:cs="Arial"/>
          <w:sz w:val="24"/>
          <w:szCs w:val="24"/>
          <w:lang w:val="mk-MK"/>
        </w:rPr>
        <w:t>,</w:t>
      </w:r>
      <w:r w:rsidRPr="00190912">
        <w:rPr>
          <w:rFonts w:ascii="Arial" w:hAnsi="Arial" w:cs="Arial"/>
          <w:sz w:val="24"/>
          <w:szCs w:val="24"/>
        </w:rPr>
        <w:t xml:space="preserve"> намалувања во аутпутот. </w:t>
      </w:r>
      <w:proofErr w:type="gramStart"/>
      <w:r w:rsidRPr="00190912">
        <w:rPr>
          <w:rFonts w:ascii="Arial" w:hAnsi="Arial" w:cs="Arial"/>
          <w:sz w:val="24"/>
          <w:szCs w:val="24"/>
        </w:rPr>
        <w:t xml:space="preserve">Кај </w:t>
      </w:r>
      <w:r w:rsidRPr="00190912">
        <w:rPr>
          <w:rFonts w:ascii="Arial" w:hAnsi="Arial" w:cs="Arial"/>
          <w:b/>
          <w:sz w:val="24"/>
          <w:szCs w:val="24"/>
        </w:rPr>
        <w:t>приходите</w:t>
      </w:r>
      <w:r w:rsidRPr="00190912">
        <w:rPr>
          <w:rFonts w:ascii="Arial" w:hAnsi="Arial" w:cs="Arial"/>
          <w:sz w:val="24"/>
          <w:szCs w:val="24"/>
        </w:rPr>
        <w:t>, кратките намалувања во VAT и увозните давачк</w:t>
      </w:r>
      <w:r w:rsidR="00361EA2">
        <w:rPr>
          <w:rFonts w:ascii="Arial" w:hAnsi="Arial" w:cs="Arial"/>
          <w:sz w:val="24"/>
          <w:szCs w:val="24"/>
        </w:rPr>
        <w:t>и се компензираа со повисоките</w:t>
      </w:r>
      <w:r w:rsidRPr="00190912">
        <w:rPr>
          <w:rFonts w:ascii="Arial" w:hAnsi="Arial" w:cs="Arial"/>
          <w:sz w:val="24"/>
          <w:szCs w:val="24"/>
        </w:rPr>
        <w:t xml:space="preserve"> од </w:t>
      </w:r>
      <w:r w:rsidR="00F4590E">
        <w:rPr>
          <w:rFonts w:ascii="Arial" w:hAnsi="Arial" w:cs="Arial"/>
          <w:sz w:val="24"/>
          <w:szCs w:val="24"/>
        </w:rPr>
        <w:t>очекувани</w:t>
      </w:r>
      <w:r w:rsidRPr="00190912">
        <w:rPr>
          <w:rFonts w:ascii="Arial" w:hAnsi="Arial" w:cs="Arial"/>
          <w:sz w:val="24"/>
          <w:szCs w:val="24"/>
        </w:rPr>
        <w:t xml:space="preserve"> приходи на нафта.</w:t>
      </w:r>
      <w:proofErr w:type="gramEnd"/>
      <w:r w:rsidRPr="00190912">
        <w:rPr>
          <w:rFonts w:ascii="Arial" w:hAnsi="Arial" w:cs="Arial"/>
          <w:sz w:val="24"/>
          <w:szCs w:val="24"/>
        </w:rPr>
        <w:t xml:space="preserve"> </w:t>
      </w:r>
      <w:proofErr w:type="gramStart"/>
      <w:r w:rsidRPr="00190912">
        <w:rPr>
          <w:rFonts w:ascii="Arial" w:hAnsi="Arial" w:cs="Arial"/>
          <w:sz w:val="24"/>
          <w:szCs w:val="24"/>
        </w:rPr>
        <w:t xml:space="preserve">Кај </w:t>
      </w:r>
      <w:r w:rsidRPr="00190912">
        <w:rPr>
          <w:rFonts w:ascii="Arial" w:hAnsi="Arial" w:cs="Arial"/>
          <w:b/>
          <w:sz w:val="24"/>
          <w:szCs w:val="24"/>
        </w:rPr>
        <w:t>трошоците</w:t>
      </w:r>
      <w:r w:rsidRPr="00190912">
        <w:rPr>
          <w:rFonts w:ascii="Arial" w:hAnsi="Arial" w:cs="Arial"/>
          <w:sz w:val="24"/>
          <w:szCs w:val="24"/>
        </w:rPr>
        <w:t>, високите каматни плаќања беа компензирани поради доцнењето во инвестиционите проекти и намалувањата во секторот за социјални трансфери.</w:t>
      </w:r>
      <w:proofErr w:type="gramEnd"/>
      <w:r w:rsidRPr="00190912">
        <w:rPr>
          <w:rFonts w:ascii="Arial" w:hAnsi="Arial" w:cs="Arial"/>
          <w:sz w:val="24"/>
          <w:szCs w:val="24"/>
        </w:rPr>
        <w:t xml:space="preserve"> </w:t>
      </w:r>
      <w:proofErr w:type="gramStart"/>
      <w:r w:rsidRPr="00190912">
        <w:rPr>
          <w:rFonts w:ascii="Arial" w:hAnsi="Arial" w:cs="Arial"/>
          <w:sz w:val="24"/>
          <w:szCs w:val="24"/>
        </w:rPr>
        <w:t xml:space="preserve">Во однос на </w:t>
      </w:r>
      <w:r w:rsidRPr="00190912">
        <w:rPr>
          <w:rFonts w:ascii="Arial" w:hAnsi="Arial" w:cs="Arial"/>
          <w:b/>
          <w:sz w:val="24"/>
          <w:szCs w:val="24"/>
        </w:rPr>
        <w:t>јавниот долг</w:t>
      </w:r>
      <w:r w:rsidRPr="00190912">
        <w:rPr>
          <w:rFonts w:ascii="Arial" w:hAnsi="Arial" w:cs="Arial"/>
          <w:sz w:val="24"/>
          <w:szCs w:val="24"/>
        </w:rPr>
        <w:t>, авторитетите остварија успех да останат доследни на своите тековни обврски.</w:t>
      </w:r>
      <w:proofErr w:type="gramEnd"/>
      <w:r w:rsidRPr="00190912">
        <w:rPr>
          <w:rFonts w:ascii="Arial" w:hAnsi="Arial" w:cs="Arial"/>
          <w:sz w:val="24"/>
          <w:szCs w:val="24"/>
        </w:rPr>
        <w:t xml:space="preserve"> </w:t>
      </w:r>
      <w:proofErr w:type="gramStart"/>
      <w:r w:rsidRPr="00190912">
        <w:rPr>
          <w:rFonts w:ascii="Arial" w:hAnsi="Arial" w:cs="Arial"/>
          <w:sz w:val="24"/>
          <w:szCs w:val="24"/>
        </w:rPr>
        <w:t>Високиот износ на Tesobonos беше амортизиран за време на 1995</w:t>
      </w:r>
      <w:r w:rsidR="00361EA2">
        <w:rPr>
          <w:rFonts w:ascii="Arial" w:hAnsi="Arial" w:cs="Arial"/>
          <w:sz w:val="24"/>
          <w:szCs w:val="24"/>
          <w:lang w:val="mk-MK"/>
        </w:rPr>
        <w:t xml:space="preserve"> </w:t>
      </w:r>
      <w:r w:rsidRPr="00190912">
        <w:rPr>
          <w:rFonts w:ascii="Arial" w:hAnsi="Arial" w:cs="Arial"/>
          <w:sz w:val="24"/>
          <w:szCs w:val="24"/>
        </w:rPr>
        <w:t>год</w:t>
      </w:r>
      <w:r w:rsidR="00361EA2">
        <w:rPr>
          <w:rFonts w:ascii="Arial" w:hAnsi="Arial" w:cs="Arial"/>
          <w:sz w:val="24"/>
          <w:szCs w:val="24"/>
          <w:lang w:val="mk-MK"/>
        </w:rPr>
        <w:t>.</w:t>
      </w:r>
      <w:proofErr w:type="gramEnd"/>
      <w:r w:rsidRPr="00190912">
        <w:rPr>
          <w:rFonts w:ascii="Arial" w:hAnsi="Arial" w:cs="Arial"/>
          <w:sz w:val="24"/>
          <w:szCs w:val="24"/>
        </w:rPr>
        <w:t xml:space="preserve"> </w:t>
      </w:r>
      <w:proofErr w:type="gramStart"/>
      <w:r w:rsidRPr="00190912">
        <w:rPr>
          <w:rFonts w:ascii="Arial" w:hAnsi="Arial" w:cs="Arial"/>
          <w:sz w:val="24"/>
          <w:szCs w:val="24"/>
        </w:rPr>
        <w:t>и</w:t>
      </w:r>
      <w:proofErr w:type="gramEnd"/>
      <w:r w:rsidRPr="00190912">
        <w:rPr>
          <w:rFonts w:ascii="Arial" w:hAnsi="Arial" w:cs="Arial"/>
          <w:sz w:val="24"/>
          <w:szCs w:val="24"/>
        </w:rPr>
        <w:t xml:space="preserve"> државата беше во можност да се врати на меѓународниот пазар за хартии од вредност до средината на 1995</w:t>
      </w:r>
      <w:r w:rsidR="00361EA2">
        <w:rPr>
          <w:rFonts w:ascii="Arial" w:hAnsi="Arial" w:cs="Arial"/>
          <w:sz w:val="24"/>
          <w:szCs w:val="24"/>
          <w:lang w:val="mk-MK"/>
        </w:rPr>
        <w:t xml:space="preserve"> </w:t>
      </w:r>
      <w:r w:rsidRPr="00190912">
        <w:rPr>
          <w:rFonts w:ascii="Arial" w:hAnsi="Arial" w:cs="Arial"/>
          <w:sz w:val="24"/>
          <w:szCs w:val="24"/>
        </w:rPr>
        <w:t xml:space="preserve">год. Големината на </w:t>
      </w:r>
      <w:r w:rsidR="00361EA2">
        <w:rPr>
          <w:rFonts w:ascii="Arial" w:hAnsi="Arial" w:cs="Arial"/>
          <w:b/>
          <w:sz w:val="24"/>
          <w:szCs w:val="24"/>
        </w:rPr>
        <w:t>надвореш</w:t>
      </w:r>
      <w:r w:rsidRPr="00F4590E">
        <w:rPr>
          <w:rFonts w:ascii="Arial" w:hAnsi="Arial" w:cs="Arial"/>
          <w:b/>
          <w:sz w:val="24"/>
          <w:szCs w:val="24"/>
        </w:rPr>
        <w:t>н</w:t>
      </w:r>
      <w:r w:rsidR="00361EA2">
        <w:rPr>
          <w:rFonts w:ascii="Arial" w:hAnsi="Arial" w:cs="Arial"/>
          <w:b/>
          <w:sz w:val="24"/>
          <w:szCs w:val="24"/>
          <w:lang w:val="mk-MK"/>
        </w:rPr>
        <w:t>иот</w:t>
      </w:r>
      <w:r w:rsidRPr="00F4590E">
        <w:rPr>
          <w:rFonts w:ascii="Arial" w:hAnsi="Arial" w:cs="Arial"/>
          <w:b/>
          <w:sz w:val="24"/>
          <w:szCs w:val="24"/>
        </w:rPr>
        <w:t xml:space="preserve"> јавен долг</w:t>
      </w:r>
      <w:r w:rsidRPr="00190912">
        <w:rPr>
          <w:rFonts w:ascii="Arial" w:hAnsi="Arial" w:cs="Arial"/>
          <w:sz w:val="24"/>
          <w:szCs w:val="24"/>
        </w:rPr>
        <w:t xml:space="preserve"> беше намален</w:t>
      </w:r>
      <w:r w:rsidR="00F4590E">
        <w:rPr>
          <w:rFonts w:ascii="Arial" w:hAnsi="Arial" w:cs="Arial"/>
          <w:sz w:val="24"/>
          <w:szCs w:val="24"/>
          <w:lang w:val="mk-MK"/>
        </w:rPr>
        <w:t>а</w:t>
      </w:r>
      <w:r w:rsidRPr="00190912">
        <w:rPr>
          <w:rFonts w:ascii="Arial" w:hAnsi="Arial" w:cs="Arial"/>
          <w:sz w:val="24"/>
          <w:szCs w:val="24"/>
        </w:rPr>
        <w:t xml:space="preserve"> значително за време на 1995-97</w:t>
      </w:r>
      <w:r w:rsidR="00361EA2">
        <w:rPr>
          <w:rFonts w:ascii="Arial" w:hAnsi="Arial" w:cs="Arial"/>
          <w:sz w:val="24"/>
          <w:szCs w:val="24"/>
          <w:lang w:val="mk-MK"/>
        </w:rPr>
        <w:t xml:space="preserve"> </w:t>
      </w:r>
      <w:proofErr w:type="gramStart"/>
      <w:r w:rsidRPr="00190912">
        <w:rPr>
          <w:rFonts w:ascii="Arial" w:hAnsi="Arial" w:cs="Arial"/>
          <w:sz w:val="24"/>
          <w:szCs w:val="24"/>
        </w:rPr>
        <w:t>год</w:t>
      </w:r>
      <w:r w:rsidR="00361EA2">
        <w:rPr>
          <w:rFonts w:ascii="Arial" w:hAnsi="Arial" w:cs="Arial"/>
          <w:sz w:val="24"/>
          <w:szCs w:val="24"/>
          <w:lang w:val="mk-MK"/>
        </w:rPr>
        <w:t>.</w:t>
      </w:r>
      <w:r w:rsidRPr="00190912">
        <w:rPr>
          <w:rFonts w:ascii="Arial" w:hAnsi="Arial" w:cs="Arial"/>
          <w:sz w:val="24"/>
          <w:szCs w:val="24"/>
        </w:rPr>
        <w:t>,</w:t>
      </w:r>
      <w:proofErr w:type="gramEnd"/>
      <w:r w:rsidRPr="00190912">
        <w:rPr>
          <w:rFonts w:ascii="Arial" w:hAnsi="Arial" w:cs="Arial"/>
          <w:sz w:val="24"/>
          <w:szCs w:val="24"/>
        </w:rPr>
        <w:t xml:space="preserve"> иако</w:t>
      </w:r>
      <w:r w:rsidR="00F4590E">
        <w:rPr>
          <w:rFonts w:ascii="Arial" w:hAnsi="Arial" w:cs="Arial"/>
          <w:sz w:val="24"/>
          <w:szCs w:val="24"/>
        </w:rPr>
        <w:t xml:space="preserve"> </w:t>
      </w:r>
      <w:r w:rsidR="00F4590E" w:rsidRPr="00F4590E">
        <w:rPr>
          <w:rFonts w:ascii="Arial" w:hAnsi="Arial" w:cs="Arial"/>
          <w:b/>
          <w:sz w:val="24"/>
          <w:szCs w:val="24"/>
        </w:rPr>
        <w:t>вкупниот јавен долг</w:t>
      </w:r>
      <w:r w:rsidR="00F4590E">
        <w:rPr>
          <w:rFonts w:ascii="Arial" w:hAnsi="Arial" w:cs="Arial"/>
          <w:sz w:val="24"/>
          <w:szCs w:val="24"/>
        </w:rPr>
        <w:t xml:space="preserve"> се зголеми</w:t>
      </w:r>
      <w:r w:rsidRPr="00190912">
        <w:rPr>
          <w:rFonts w:ascii="Arial" w:hAnsi="Arial" w:cs="Arial"/>
          <w:sz w:val="24"/>
          <w:szCs w:val="24"/>
        </w:rPr>
        <w:t xml:space="preserve"> како резултат на трошоците за реструктуирање</w:t>
      </w:r>
      <w:r w:rsidR="00361EA2">
        <w:rPr>
          <w:rFonts w:ascii="Arial" w:hAnsi="Arial" w:cs="Arial"/>
          <w:sz w:val="24"/>
          <w:szCs w:val="24"/>
        </w:rPr>
        <w:t xml:space="preserve"> на банкарскиот сектор (околу 9</w:t>
      </w:r>
      <w:r w:rsidRPr="00190912">
        <w:rPr>
          <w:rFonts w:ascii="Arial" w:hAnsi="Arial" w:cs="Arial"/>
          <w:sz w:val="24"/>
          <w:szCs w:val="24"/>
        </w:rPr>
        <w:t>% од БДП).</w:t>
      </w:r>
      <w:r w:rsidRPr="00190912">
        <w:rPr>
          <w:rFonts w:ascii="Arial" w:hAnsi="Arial" w:cs="Arial"/>
          <w:sz w:val="24"/>
          <w:szCs w:val="24"/>
          <w:lang w:val="mk-MK"/>
        </w:rPr>
        <w:t xml:space="preserve"> </w:t>
      </w:r>
      <w:proofErr w:type="gramStart"/>
      <w:r w:rsidRPr="00190912">
        <w:rPr>
          <w:rFonts w:ascii="Arial" w:hAnsi="Arial" w:cs="Arial"/>
          <w:sz w:val="24"/>
          <w:szCs w:val="24"/>
        </w:rPr>
        <w:t>На структурно ниво, значајни реформи на даночната администрација беа имплементирани за време на 1996 - 98год.</w:t>
      </w:r>
      <w:proofErr w:type="gramEnd"/>
      <w:r w:rsidRPr="00190912">
        <w:rPr>
          <w:rFonts w:ascii="Arial" w:hAnsi="Arial" w:cs="Arial"/>
          <w:sz w:val="24"/>
          <w:szCs w:val="24"/>
        </w:rPr>
        <w:t xml:space="preserve"> </w:t>
      </w:r>
      <w:r w:rsidR="00361EA2">
        <w:rPr>
          <w:rFonts w:ascii="Arial" w:hAnsi="Arial" w:cs="Arial"/>
          <w:sz w:val="24"/>
          <w:szCs w:val="24"/>
          <w:lang w:val="mk-MK"/>
        </w:rPr>
        <w:t>Со цел</w:t>
      </w:r>
      <w:r w:rsidRPr="00190912">
        <w:rPr>
          <w:rFonts w:ascii="Arial" w:hAnsi="Arial" w:cs="Arial"/>
          <w:sz w:val="24"/>
          <w:szCs w:val="24"/>
        </w:rPr>
        <w:t xml:space="preserve"> да се подобри таргетирањето на социјалните трошоци и трансфери, </w:t>
      </w:r>
      <w:r w:rsidR="00361EA2" w:rsidRPr="00190912">
        <w:rPr>
          <w:rFonts w:ascii="Arial" w:hAnsi="Arial" w:cs="Arial"/>
          <w:sz w:val="24"/>
          <w:szCs w:val="24"/>
        </w:rPr>
        <w:t xml:space="preserve">во 1997год беше воведена </w:t>
      </w:r>
      <w:r w:rsidRPr="00190912">
        <w:rPr>
          <w:rFonts w:ascii="Arial" w:hAnsi="Arial" w:cs="Arial"/>
          <w:sz w:val="24"/>
          <w:szCs w:val="24"/>
        </w:rPr>
        <w:t xml:space="preserve">програма за директни готовински бенефиции на сиромашните </w:t>
      </w:r>
      <w:r w:rsidR="00361EA2">
        <w:rPr>
          <w:rFonts w:ascii="Arial" w:hAnsi="Arial" w:cs="Arial"/>
          <w:sz w:val="24"/>
          <w:szCs w:val="24"/>
          <w:lang w:val="mk-MK"/>
        </w:rPr>
        <w:t xml:space="preserve">за </w:t>
      </w:r>
      <w:r w:rsidRPr="00190912">
        <w:rPr>
          <w:rFonts w:ascii="Arial" w:hAnsi="Arial" w:cs="Arial"/>
          <w:sz w:val="24"/>
          <w:szCs w:val="24"/>
        </w:rPr>
        <w:t xml:space="preserve">да ги замени различните ценовни субвенции. </w:t>
      </w:r>
      <w:proofErr w:type="gramStart"/>
      <w:r w:rsidRPr="00190912">
        <w:rPr>
          <w:rFonts w:ascii="Arial" w:hAnsi="Arial" w:cs="Arial"/>
          <w:sz w:val="24"/>
          <w:szCs w:val="24"/>
        </w:rPr>
        <w:t>Сепак, многу потребните реформи во даночната политика направија мал прогрес во деновите што следеа после завршетокот на кризата.</w:t>
      </w:r>
      <w:proofErr w:type="gramEnd"/>
    </w:p>
    <w:p w:rsidR="00CF4E66" w:rsidRPr="00361EA2" w:rsidRDefault="00CF4E66" w:rsidP="00361EA2">
      <w:pPr>
        <w:jc w:val="center"/>
        <w:rPr>
          <w:rFonts w:ascii="Arial" w:hAnsi="Arial" w:cs="Arial"/>
          <w:b/>
          <w:sz w:val="24"/>
          <w:szCs w:val="24"/>
        </w:rPr>
      </w:pPr>
      <w:r w:rsidRPr="00361EA2">
        <w:rPr>
          <w:rFonts w:ascii="Arial" w:hAnsi="Arial" w:cs="Arial"/>
          <w:b/>
          <w:sz w:val="24"/>
          <w:szCs w:val="24"/>
          <w:lang w:val="mk-MK"/>
        </w:rPr>
        <w:t>Заклучок</w:t>
      </w:r>
    </w:p>
    <w:p w:rsidR="00121214" w:rsidRDefault="00A44A7B" w:rsidP="00361EA2">
      <w:pPr>
        <w:spacing w:after="0"/>
        <w:ind w:firstLine="720"/>
        <w:jc w:val="both"/>
        <w:rPr>
          <w:rFonts w:ascii="Arial" w:hAnsi="Arial" w:cs="Arial"/>
          <w:sz w:val="24"/>
          <w:szCs w:val="24"/>
          <w:lang w:val="mk-MK"/>
        </w:rPr>
      </w:pPr>
      <w:r>
        <w:rPr>
          <w:rFonts w:ascii="Arial" w:hAnsi="Arial" w:cs="Arial"/>
          <w:sz w:val="24"/>
          <w:szCs w:val="24"/>
          <w:lang w:val="mk-MK"/>
        </w:rPr>
        <w:t xml:space="preserve">Економската криза во Мексико од </w:t>
      </w:r>
      <w:r w:rsidR="00C02A45">
        <w:rPr>
          <w:rFonts w:ascii="Arial" w:hAnsi="Arial" w:cs="Arial"/>
          <w:sz w:val="24"/>
          <w:szCs w:val="24"/>
          <w:lang w:val="mk-MK"/>
        </w:rPr>
        <w:t>1994 година покажа нови извори з</w:t>
      </w:r>
      <w:r>
        <w:rPr>
          <w:rFonts w:ascii="Arial" w:hAnsi="Arial" w:cs="Arial"/>
          <w:sz w:val="24"/>
          <w:szCs w:val="24"/>
          <w:lang w:val="mk-MK"/>
        </w:rPr>
        <w:t xml:space="preserve">а </w:t>
      </w:r>
      <w:r w:rsidR="00C02A45">
        <w:rPr>
          <w:rFonts w:ascii="Arial" w:hAnsi="Arial" w:cs="Arial"/>
          <w:sz w:val="24"/>
          <w:szCs w:val="24"/>
          <w:lang w:val="mk-MK"/>
        </w:rPr>
        <w:t>финансиска ранливост во глобалн</w:t>
      </w:r>
      <w:r w:rsidR="00C02A45">
        <w:rPr>
          <w:rFonts w:ascii="Arial" w:hAnsi="Arial" w:cs="Arial"/>
          <w:sz w:val="24"/>
          <w:szCs w:val="24"/>
        </w:rPr>
        <w:t>a</w:t>
      </w:r>
      <w:r>
        <w:rPr>
          <w:rFonts w:ascii="Arial" w:hAnsi="Arial" w:cs="Arial"/>
          <w:sz w:val="24"/>
          <w:szCs w:val="24"/>
          <w:lang w:val="mk-MK"/>
        </w:rPr>
        <w:t>та економија. Може да се каже дека Текила криз</w:t>
      </w:r>
      <w:r w:rsidR="00CA5BC3">
        <w:rPr>
          <w:rFonts w:ascii="Arial" w:hAnsi="Arial" w:cs="Arial"/>
          <w:sz w:val="24"/>
          <w:szCs w:val="24"/>
          <w:lang w:val="mk-MK"/>
        </w:rPr>
        <w:t>ата беше прва од ваков вид криза</w:t>
      </w:r>
      <w:r>
        <w:rPr>
          <w:rFonts w:ascii="Arial" w:hAnsi="Arial" w:cs="Arial"/>
          <w:sz w:val="24"/>
          <w:szCs w:val="24"/>
          <w:lang w:val="mk-MK"/>
        </w:rPr>
        <w:t xml:space="preserve"> во модерната економска историја што брзо се пренесе на другите пазари во развој – главно преку финансиските канали</w:t>
      </w:r>
      <w:r w:rsidR="00C02A45">
        <w:rPr>
          <w:rFonts w:ascii="Arial" w:hAnsi="Arial" w:cs="Arial"/>
          <w:sz w:val="24"/>
          <w:szCs w:val="24"/>
        </w:rPr>
        <w:t xml:space="preserve"> </w:t>
      </w:r>
      <w:r w:rsidR="00C02A45">
        <w:rPr>
          <w:rFonts w:ascii="Arial" w:hAnsi="Arial" w:cs="Arial"/>
          <w:sz w:val="24"/>
          <w:szCs w:val="24"/>
          <w:lang w:val="mk-MK"/>
        </w:rPr>
        <w:t xml:space="preserve">и особено ја истакна важноста </w:t>
      </w:r>
      <w:r w:rsidR="00BA0B2E">
        <w:rPr>
          <w:rFonts w:ascii="Arial" w:hAnsi="Arial" w:cs="Arial"/>
          <w:sz w:val="24"/>
          <w:szCs w:val="24"/>
          <w:lang w:val="mk-MK"/>
        </w:rPr>
        <w:t>од</w:t>
      </w:r>
      <w:r w:rsidR="00C02A45">
        <w:rPr>
          <w:rFonts w:ascii="Arial" w:hAnsi="Arial" w:cs="Arial"/>
          <w:sz w:val="24"/>
          <w:szCs w:val="24"/>
          <w:lang w:val="mk-MK"/>
        </w:rPr>
        <w:t xml:space="preserve"> </w:t>
      </w:r>
      <w:r w:rsidR="00CA5BC3">
        <w:rPr>
          <w:rFonts w:ascii="Arial" w:hAnsi="Arial" w:cs="Arial"/>
          <w:sz w:val="24"/>
          <w:szCs w:val="24"/>
          <w:lang w:val="mk-MK"/>
        </w:rPr>
        <w:t>навремена</w:t>
      </w:r>
      <w:r w:rsidR="00C02A45">
        <w:rPr>
          <w:rFonts w:ascii="Arial" w:hAnsi="Arial" w:cs="Arial"/>
          <w:sz w:val="24"/>
          <w:szCs w:val="24"/>
          <w:lang w:val="mk-MK"/>
        </w:rPr>
        <w:t xml:space="preserve"> финансиска и регулативна подготвеност во либерализацијата на финансиските пазари. Постојат две клучни разли</w:t>
      </w:r>
      <w:r w:rsidR="00CA5BC3">
        <w:rPr>
          <w:rFonts w:ascii="Arial" w:hAnsi="Arial" w:cs="Arial"/>
          <w:sz w:val="24"/>
          <w:szCs w:val="24"/>
          <w:lang w:val="mk-MK"/>
        </w:rPr>
        <w:t xml:space="preserve">ки </w:t>
      </w:r>
      <w:r w:rsidR="00F43AEF">
        <w:rPr>
          <w:rFonts w:ascii="Arial" w:hAnsi="Arial" w:cs="Arial"/>
          <w:sz w:val="24"/>
          <w:szCs w:val="24"/>
          <w:lang w:val="mk-MK"/>
        </w:rPr>
        <w:t>во институционалната структура помеѓу индустриски развиените земји и земјите во развој што влијаат врз динамиката на банкарските и финансиските кризи, а тоа се</w:t>
      </w:r>
      <w:r w:rsidR="00F43AEF">
        <w:rPr>
          <w:rFonts w:ascii="Arial" w:hAnsi="Arial" w:cs="Arial"/>
          <w:sz w:val="24"/>
          <w:szCs w:val="24"/>
        </w:rPr>
        <w:t xml:space="preserve">: </w:t>
      </w:r>
      <w:r w:rsidR="00F43AEF" w:rsidRPr="00121214">
        <w:rPr>
          <w:rFonts w:ascii="Arial" w:hAnsi="Arial" w:cs="Arial"/>
          <w:b/>
          <w:i/>
          <w:sz w:val="24"/>
          <w:szCs w:val="24"/>
          <w:lang w:val="mk-MK"/>
        </w:rPr>
        <w:t xml:space="preserve">(1) договорите за приватен долг во земјите во развој имаат краток рок на доспевање, и (2) многу договори за долг </w:t>
      </w:r>
      <w:r w:rsidR="00121214">
        <w:rPr>
          <w:rFonts w:ascii="Arial" w:hAnsi="Arial" w:cs="Arial"/>
          <w:b/>
          <w:i/>
          <w:sz w:val="24"/>
          <w:szCs w:val="24"/>
          <w:lang w:val="mk-MK"/>
        </w:rPr>
        <w:t>во земјите во развој се</w:t>
      </w:r>
      <w:r w:rsidR="00F43AEF" w:rsidRPr="00121214">
        <w:rPr>
          <w:rFonts w:ascii="Arial" w:hAnsi="Arial" w:cs="Arial"/>
          <w:b/>
          <w:i/>
          <w:sz w:val="24"/>
          <w:szCs w:val="24"/>
          <w:lang w:val="mk-MK"/>
        </w:rPr>
        <w:t xml:space="preserve"> деноминирани во странска валута.</w:t>
      </w:r>
      <w:r w:rsidR="00F43AEF">
        <w:rPr>
          <w:rFonts w:ascii="Arial" w:hAnsi="Arial" w:cs="Arial"/>
          <w:sz w:val="24"/>
          <w:szCs w:val="24"/>
          <w:lang w:val="mk-MK"/>
        </w:rPr>
        <w:t xml:space="preserve"> На пример, во земјите во развој како Мексико, договорите за приватен долг имаат рок на достасување </w:t>
      </w:r>
      <w:r w:rsidR="00276BE3">
        <w:rPr>
          <w:rFonts w:ascii="Arial" w:hAnsi="Arial" w:cs="Arial"/>
          <w:sz w:val="24"/>
          <w:szCs w:val="24"/>
          <w:lang w:val="mk-MK"/>
        </w:rPr>
        <w:t xml:space="preserve">многу пократок од оној во развиените земји како САД, кои имаат рок на достасување од неколку години. Важна причина зошто ова се случува е фактот што земјите во развој имаат обично искусено многу високи и варијабилни стапки на инфлација, така што инфлаторниот ризик кој е вклучен во долгорочните должнички договори е екстремно повисок од оној на развиените земји. Оттука, доминираат </w:t>
      </w:r>
      <w:r w:rsidR="00276BE3">
        <w:rPr>
          <w:rFonts w:ascii="Arial" w:hAnsi="Arial" w:cs="Arial"/>
          <w:sz w:val="24"/>
          <w:szCs w:val="24"/>
          <w:lang w:val="mk-MK"/>
        </w:rPr>
        <w:lastRenderedPageBreak/>
        <w:t xml:space="preserve">краткорочните должнички договори бидејќи вклучуваат помал инфлаторен ризик. Високата и варијабилна инфлација е исто така водечка сила при објаснување и на втората институционална карактеристика на финансиските пазари во земјите во развој. Имено, високата и варијабилна инфлација доведува до огромна несигурност за идната вредност на домашната валута во земјите во развој. Така, многу нефинансиски фирми, банки и влади во земјите во развој со цел да ја избегнат несигурноста се одлучуваат да емитуваат долг кој е деноминиран во странска валута. </w:t>
      </w:r>
      <w:r w:rsidR="0078621D">
        <w:rPr>
          <w:rFonts w:ascii="Arial" w:hAnsi="Arial" w:cs="Arial"/>
          <w:sz w:val="24"/>
          <w:szCs w:val="24"/>
          <w:lang w:val="mk-MK"/>
        </w:rPr>
        <w:t>Спротивно на ова, во најразвиените земји,</w:t>
      </w:r>
      <w:r w:rsidR="00272F42">
        <w:rPr>
          <w:rFonts w:ascii="Arial" w:hAnsi="Arial" w:cs="Arial"/>
          <w:sz w:val="24"/>
          <w:szCs w:val="24"/>
          <w:lang w:val="mk-MK"/>
        </w:rPr>
        <w:t xml:space="preserve"> многу мал долг е деноминиран во странска валута и обично има подолг рок на достасување. Како резултат на ова, </w:t>
      </w:r>
      <w:r w:rsidR="00434CFE">
        <w:rPr>
          <w:rFonts w:ascii="Arial" w:hAnsi="Arial" w:cs="Arial"/>
          <w:sz w:val="24"/>
          <w:szCs w:val="24"/>
          <w:lang w:val="mk-MK"/>
        </w:rPr>
        <w:t>кризите на девизниот курс</w:t>
      </w:r>
      <w:r w:rsidR="00272F42">
        <w:rPr>
          <w:rFonts w:ascii="Arial" w:hAnsi="Arial" w:cs="Arial"/>
          <w:sz w:val="24"/>
          <w:szCs w:val="24"/>
          <w:lang w:val="mk-MK"/>
        </w:rPr>
        <w:t xml:space="preserve"> прават помала </w:t>
      </w:r>
      <w:r w:rsidR="00434CFE">
        <w:rPr>
          <w:rFonts w:ascii="Arial" w:hAnsi="Arial" w:cs="Arial"/>
          <w:sz w:val="24"/>
          <w:szCs w:val="24"/>
          <w:lang w:val="mk-MK"/>
        </w:rPr>
        <w:t xml:space="preserve">економска </w:t>
      </w:r>
      <w:r w:rsidR="00272F42">
        <w:rPr>
          <w:rFonts w:ascii="Arial" w:hAnsi="Arial" w:cs="Arial"/>
          <w:sz w:val="24"/>
          <w:szCs w:val="24"/>
          <w:lang w:val="mk-MK"/>
        </w:rPr>
        <w:t>штета во развиените земји.</w:t>
      </w:r>
      <w:r w:rsidR="0078621D">
        <w:rPr>
          <w:rFonts w:ascii="Arial" w:hAnsi="Arial" w:cs="Arial"/>
          <w:sz w:val="24"/>
          <w:szCs w:val="24"/>
          <w:lang w:val="mk-MK"/>
        </w:rPr>
        <w:t xml:space="preserve"> Ова објаснува зошто земји</w:t>
      </w:r>
      <w:r w:rsidR="00434CFE">
        <w:rPr>
          <w:rFonts w:ascii="Arial" w:hAnsi="Arial" w:cs="Arial"/>
          <w:sz w:val="24"/>
          <w:szCs w:val="24"/>
          <w:lang w:val="mk-MK"/>
        </w:rPr>
        <w:t xml:space="preserve"> како Велика Британија не беа погодени од кризата на девизниот курс што настана во септември 1992 година. Всушност, се чини дека Велика Британија </w:t>
      </w:r>
      <w:r w:rsidR="00704AD1">
        <w:rPr>
          <w:rFonts w:ascii="Arial" w:hAnsi="Arial" w:cs="Arial"/>
          <w:sz w:val="24"/>
          <w:szCs w:val="24"/>
          <w:lang w:val="mk-MK"/>
        </w:rPr>
        <w:t>имаше корист од де</w:t>
      </w:r>
      <w:r w:rsidR="00121214">
        <w:rPr>
          <w:rFonts w:ascii="Arial" w:hAnsi="Arial" w:cs="Arial"/>
          <w:sz w:val="24"/>
          <w:szCs w:val="24"/>
          <w:lang w:val="mk-MK"/>
        </w:rPr>
        <w:t xml:space="preserve">пресијацијата на фунтата после кризата за разлика од Мексико во 1994-95 година кој беше опустошен од кризата на девизниот курс. Важна лекција од Мексичката криза е дека различни институционални структури може да доведат до различни резултати кога вредноста на домашната валута ќе се промени. </w:t>
      </w:r>
    </w:p>
    <w:p w:rsidR="00121214" w:rsidRDefault="00121214" w:rsidP="00121214">
      <w:pPr>
        <w:spacing w:after="0"/>
        <w:jc w:val="both"/>
        <w:rPr>
          <w:rFonts w:ascii="Arial" w:hAnsi="Arial" w:cs="Arial"/>
          <w:sz w:val="24"/>
          <w:szCs w:val="24"/>
        </w:rPr>
      </w:pPr>
      <w:r>
        <w:rPr>
          <w:rFonts w:ascii="Arial" w:hAnsi="Arial" w:cs="Arial"/>
          <w:sz w:val="24"/>
          <w:szCs w:val="24"/>
          <w:lang w:val="mk-MK"/>
        </w:rPr>
        <w:tab/>
        <w:t xml:space="preserve">Генерално, може да се извлечат неколку </w:t>
      </w:r>
      <w:r w:rsidRPr="00121214">
        <w:rPr>
          <w:rFonts w:ascii="Arial" w:hAnsi="Arial" w:cs="Arial"/>
          <w:b/>
          <w:sz w:val="24"/>
          <w:szCs w:val="24"/>
          <w:lang w:val="mk-MK"/>
        </w:rPr>
        <w:t>основни лекции</w:t>
      </w:r>
      <w:r>
        <w:rPr>
          <w:rFonts w:ascii="Arial" w:hAnsi="Arial" w:cs="Arial"/>
          <w:sz w:val="24"/>
          <w:szCs w:val="24"/>
          <w:lang w:val="mk-MK"/>
        </w:rPr>
        <w:t xml:space="preserve"> од Мексичката криза и тоа</w:t>
      </w:r>
      <w:r w:rsidRPr="00121214">
        <w:rPr>
          <w:rFonts w:ascii="Arial" w:hAnsi="Arial" w:cs="Arial"/>
          <w:b/>
          <w:sz w:val="24"/>
          <w:szCs w:val="24"/>
        </w:rPr>
        <w:t>:</w:t>
      </w:r>
      <w:r w:rsidRPr="00121214">
        <w:rPr>
          <w:rFonts w:ascii="Arial" w:hAnsi="Arial" w:cs="Arial"/>
          <w:b/>
          <w:i/>
          <w:sz w:val="24"/>
          <w:szCs w:val="24"/>
        </w:rPr>
        <w:t xml:space="preserve"> </w:t>
      </w:r>
      <w:r w:rsidRPr="00121214">
        <w:rPr>
          <w:rFonts w:ascii="Arial" w:hAnsi="Arial" w:cs="Arial"/>
          <w:b/>
          <w:sz w:val="24"/>
          <w:szCs w:val="24"/>
        </w:rPr>
        <w:t>(1)</w:t>
      </w:r>
      <w:r w:rsidRPr="00121214">
        <w:rPr>
          <w:rFonts w:ascii="Arial" w:hAnsi="Arial" w:cs="Arial"/>
          <w:sz w:val="24"/>
          <w:szCs w:val="24"/>
        </w:rPr>
        <w:t xml:space="preserve"> </w:t>
      </w:r>
      <w:r w:rsidRPr="00121214">
        <w:rPr>
          <w:rFonts w:ascii="Arial" w:hAnsi="Arial" w:cs="Arial"/>
          <w:sz w:val="24"/>
          <w:szCs w:val="24"/>
          <w:lang w:val="mk-MK"/>
        </w:rPr>
        <w:t>режимите на врзани номинални девизни курсеви се исклучително опасни</w:t>
      </w:r>
      <w:r w:rsidRPr="00121214">
        <w:rPr>
          <w:rFonts w:ascii="Arial" w:hAnsi="Arial" w:cs="Arial"/>
          <w:sz w:val="24"/>
          <w:szCs w:val="24"/>
        </w:rPr>
        <w:t xml:space="preserve">, </w:t>
      </w:r>
      <w:r w:rsidRPr="00121214">
        <w:rPr>
          <w:rFonts w:ascii="Arial" w:hAnsi="Arial" w:cs="Arial"/>
          <w:b/>
          <w:sz w:val="24"/>
          <w:szCs w:val="24"/>
        </w:rPr>
        <w:t>(2)</w:t>
      </w:r>
      <w:r w:rsidRPr="00121214">
        <w:rPr>
          <w:rFonts w:ascii="Arial" w:hAnsi="Arial" w:cs="Arial"/>
          <w:sz w:val="24"/>
          <w:szCs w:val="24"/>
        </w:rPr>
        <w:t xml:space="preserve"> </w:t>
      </w:r>
      <w:r w:rsidRPr="00121214">
        <w:rPr>
          <w:rFonts w:ascii="Arial" w:hAnsi="Arial" w:cs="Arial"/>
          <w:sz w:val="24"/>
          <w:szCs w:val="24"/>
          <w:lang w:val="mk-MK"/>
        </w:rPr>
        <w:t>силната прудентна супервизија на банкарскиот систем е од клучно значење за спречување на финансиски кризи</w:t>
      </w:r>
      <w:r w:rsidRPr="00121214">
        <w:rPr>
          <w:rFonts w:ascii="Arial" w:hAnsi="Arial" w:cs="Arial"/>
          <w:sz w:val="24"/>
          <w:szCs w:val="24"/>
        </w:rPr>
        <w:t xml:space="preserve">, </w:t>
      </w:r>
      <w:r w:rsidRPr="00121214">
        <w:rPr>
          <w:rFonts w:ascii="Arial" w:hAnsi="Arial" w:cs="Arial"/>
          <w:b/>
          <w:sz w:val="24"/>
          <w:szCs w:val="24"/>
        </w:rPr>
        <w:t xml:space="preserve">(3) </w:t>
      </w:r>
      <w:r w:rsidRPr="00121214">
        <w:rPr>
          <w:rFonts w:ascii="Arial" w:hAnsi="Arial" w:cs="Arial"/>
          <w:sz w:val="24"/>
          <w:szCs w:val="24"/>
          <w:lang w:val="mk-MK"/>
        </w:rPr>
        <w:t xml:space="preserve">финансиската либерализација мора да се управува исклучително внимателно, и </w:t>
      </w:r>
      <w:r w:rsidRPr="00121214">
        <w:rPr>
          <w:rFonts w:ascii="Arial" w:hAnsi="Arial" w:cs="Arial"/>
          <w:b/>
          <w:sz w:val="24"/>
          <w:szCs w:val="24"/>
          <w:lang w:val="mk-MK"/>
        </w:rPr>
        <w:t xml:space="preserve">(4) </w:t>
      </w:r>
      <w:r w:rsidRPr="00121214">
        <w:rPr>
          <w:rFonts w:ascii="Arial" w:hAnsi="Arial" w:cs="Arial"/>
          <w:sz w:val="24"/>
          <w:szCs w:val="24"/>
          <w:lang w:val="mk-MK"/>
        </w:rPr>
        <w:t>различни политики се потребни за да се промовира обновата во земјите во развој и во индустриски развиените земји.</w:t>
      </w:r>
    </w:p>
    <w:p w:rsidR="003D682B" w:rsidRDefault="00121214" w:rsidP="00121214">
      <w:pPr>
        <w:spacing w:after="0"/>
        <w:jc w:val="both"/>
        <w:rPr>
          <w:rFonts w:ascii="Arial" w:hAnsi="Arial" w:cs="Arial"/>
          <w:sz w:val="24"/>
          <w:szCs w:val="24"/>
          <w:lang w:val="mk-MK"/>
        </w:rPr>
      </w:pPr>
      <w:r>
        <w:rPr>
          <w:rFonts w:ascii="Arial" w:hAnsi="Arial" w:cs="Arial"/>
          <w:sz w:val="24"/>
          <w:szCs w:val="24"/>
        </w:rPr>
        <w:tab/>
      </w:r>
      <w:r w:rsidR="00E20D1E">
        <w:rPr>
          <w:rFonts w:ascii="Arial" w:hAnsi="Arial" w:cs="Arial"/>
          <w:sz w:val="24"/>
          <w:szCs w:val="24"/>
          <w:lang w:val="mk-MK"/>
        </w:rPr>
        <w:t xml:space="preserve">Како </w:t>
      </w:r>
      <w:r w:rsidR="0078621D">
        <w:rPr>
          <w:rFonts w:ascii="Arial" w:hAnsi="Arial" w:cs="Arial"/>
          <w:sz w:val="24"/>
          <w:szCs w:val="24"/>
          <w:lang w:val="mk-MK"/>
        </w:rPr>
        <w:t>резултат на девалвацијата на пес</w:t>
      </w:r>
      <w:r w:rsidR="00E20D1E">
        <w:rPr>
          <w:rFonts w:ascii="Arial" w:hAnsi="Arial" w:cs="Arial"/>
          <w:sz w:val="24"/>
          <w:szCs w:val="24"/>
          <w:lang w:val="mk-MK"/>
        </w:rPr>
        <w:t>ото, сите пазарни извори за финансирање на Мексико беа затворени. Постоеше генерален консезус помеѓу инвеститорите дека новата Влада е слаба и дека нема да биде во можност да ги имплементира потребните политики за стабилизација на економијата. Покрај тоа, постое</w:t>
      </w:r>
      <w:r w:rsidR="00B51997">
        <w:rPr>
          <w:rFonts w:ascii="Arial" w:hAnsi="Arial" w:cs="Arial"/>
          <w:sz w:val="24"/>
          <w:szCs w:val="24"/>
          <w:lang w:val="mk-MK"/>
        </w:rPr>
        <w:t xml:space="preserve">ше значителен ризик дека она што започна како ликвидоносен проблем ќе прерасне во проблем на солвентноста. Од друга страна, високата инфлација, големата нестабилност и неликвидност на домашните финансиски пазари доведе до понатамошно заслабнување на веќе ранливиот банкарски сектор и креираше сериозен должнички проблем за бизнис секторот и домаќинствата. Како резултат на кризата, Владата се соочи со две </w:t>
      </w:r>
      <w:r w:rsidR="00AE1363">
        <w:rPr>
          <w:rFonts w:ascii="Arial" w:hAnsi="Arial" w:cs="Arial"/>
          <w:sz w:val="24"/>
          <w:szCs w:val="24"/>
          <w:lang w:val="mk-MK"/>
        </w:rPr>
        <w:t>итни задачи</w:t>
      </w:r>
      <w:r w:rsidR="00AE1363">
        <w:rPr>
          <w:rFonts w:ascii="Arial" w:hAnsi="Arial" w:cs="Arial"/>
          <w:sz w:val="24"/>
          <w:szCs w:val="24"/>
        </w:rPr>
        <w:t xml:space="preserve">: </w:t>
      </w:r>
      <w:r w:rsidR="00AE1363">
        <w:rPr>
          <w:rFonts w:ascii="Arial" w:hAnsi="Arial" w:cs="Arial"/>
          <w:sz w:val="24"/>
          <w:szCs w:val="24"/>
          <w:lang w:val="mk-MK"/>
        </w:rPr>
        <w:t xml:space="preserve">(1) да го рефинансира краткорочниот долг деноминиран во долари, и (2) постепено да ја обнови макроекономската стабилност. Со цел успешно да ја оствари првата задача и да се справи со опасните реверзибилни капитални приливи, Владата договори пакет за поддршка со меѓународните финансиски институции  и американската влада во износ од </w:t>
      </w:r>
      <w:r w:rsidR="00AE1363" w:rsidRPr="0078621D">
        <w:rPr>
          <w:rFonts w:ascii="Arial" w:hAnsi="Arial" w:cs="Arial"/>
          <w:b/>
          <w:sz w:val="24"/>
          <w:szCs w:val="24"/>
          <w:lang w:val="mk-MK"/>
        </w:rPr>
        <w:t>51 билион долари</w:t>
      </w:r>
      <w:r w:rsidR="00AE1363">
        <w:rPr>
          <w:rFonts w:ascii="Arial" w:hAnsi="Arial" w:cs="Arial"/>
          <w:sz w:val="24"/>
          <w:szCs w:val="24"/>
          <w:lang w:val="mk-MK"/>
        </w:rPr>
        <w:t xml:space="preserve">, од кој 20 билиони долари дојдоа од американскиот трезор, 17,8 билиони долари од ММФ, 10 билиони долари од Банката за </w:t>
      </w:r>
      <w:r w:rsidR="00AE1363">
        <w:rPr>
          <w:rFonts w:ascii="Arial" w:hAnsi="Arial" w:cs="Arial"/>
          <w:sz w:val="24"/>
          <w:szCs w:val="24"/>
          <w:lang w:val="mk-MK"/>
        </w:rPr>
        <w:lastRenderedPageBreak/>
        <w:t>меѓународни порамнувања и остатокот од Светска банка и Меѓународното здружение за развој (</w:t>
      </w:r>
      <w:r w:rsidR="00AE1363">
        <w:rPr>
          <w:rFonts w:ascii="Arial" w:hAnsi="Arial" w:cs="Arial"/>
          <w:sz w:val="24"/>
          <w:szCs w:val="24"/>
        </w:rPr>
        <w:t xml:space="preserve">IDA). </w:t>
      </w:r>
    </w:p>
    <w:p w:rsidR="003D682B" w:rsidRDefault="003D682B" w:rsidP="003D682B">
      <w:pPr>
        <w:spacing w:after="0"/>
        <w:ind w:firstLine="720"/>
        <w:jc w:val="both"/>
        <w:rPr>
          <w:rFonts w:ascii="Arial" w:hAnsi="Arial" w:cs="Arial"/>
          <w:sz w:val="24"/>
          <w:szCs w:val="24"/>
          <w:lang w:val="mk-MK"/>
        </w:rPr>
      </w:pPr>
      <w:r>
        <w:rPr>
          <w:rFonts w:ascii="Arial" w:hAnsi="Arial" w:cs="Arial"/>
          <w:sz w:val="24"/>
          <w:szCs w:val="24"/>
          <w:lang w:val="mk-MK"/>
        </w:rPr>
        <w:t xml:space="preserve">Од аспект на макроекономската стабилност, дојде до значително затегнување на монетарната и фискалната политика проследено со намалување на домашната агрегатна побарувачка и депресијација на домашната валута. Девизниот курс се остави да флуктуира. За да се избегнат инфлаторните притисоци од депресијацијата, </w:t>
      </w:r>
      <w:r w:rsidRPr="00F73A5E">
        <w:rPr>
          <w:rFonts w:ascii="Arial" w:hAnsi="Arial" w:cs="Arial"/>
          <w:b/>
          <w:sz w:val="24"/>
          <w:szCs w:val="24"/>
          <w:lang w:val="mk-MK"/>
        </w:rPr>
        <w:t>монетарната политика</w:t>
      </w:r>
      <w:r>
        <w:rPr>
          <w:rFonts w:ascii="Arial" w:hAnsi="Arial" w:cs="Arial"/>
          <w:sz w:val="24"/>
          <w:szCs w:val="24"/>
          <w:lang w:val="mk-MK"/>
        </w:rPr>
        <w:t xml:space="preserve"> имплементираше де факто рестриктивна политика што вклучуваше пораст на номиналните и реалните каматни стапки</w:t>
      </w:r>
      <w:r w:rsidR="00F73A5E">
        <w:rPr>
          <w:rFonts w:ascii="Arial" w:hAnsi="Arial" w:cs="Arial"/>
          <w:sz w:val="24"/>
          <w:szCs w:val="24"/>
          <w:lang w:val="mk-MK"/>
        </w:rPr>
        <w:t xml:space="preserve">, воспоставување на </w:t>
      </w:r>
      <w:r>
        <w:rPr>
          <w:rFonts w:ascii="Arial" w:hAnsi="Arial" w:cs="Arial"/>
          <w:sz w:val="24"/>
          <w:szCs w:val="24"/>
          <w:lang w:val="mk-MK"/>
        </w:rPr>
        <w:t>стапка на задолжителна резерва</w:t>
      </w:r>
      <w:r w:rsidR="00F73A5E">
        <w:rPr>
          <w:rFonts w:ascii="Arial" w:hAnsi="Arial" w:cs="Arial"/>
          <w:sz w:val="24"/>
          <w:szCs w:val="24"/>
          <w:lang w:val="mk-MK"/>
        </w:rPr>
        <w:t xml:space="preserve"> и ограничување на експанзијата на нето домашни кредити, што сигнализираше спречување на понатамошни напади на девизниот курс. </w:t>
      </w:r>
      <w:r w:rsidR="00F73A5E" w:rsidRPr="004D1D58">
        <w:rPr>
          <w:rFonts w:ascii="Arial" w:hAnsi="Arial" w:cs="Arial"/>
          <w:b/>
          <w:sz w:val="24"/>
          <w:szCs w:val="24"/>
          <w:lang w:val="mk-MK"/>
        </w:rPr>
        <w:t>Фискалната политика</w:t>
      </w:r>
      <w:r w:rsidR="00F73A5E">
        <w:rPr>
          <w:rFonts w:ascii="Arial" w:hAnsi="Arial" w:cs="Arial"/>
          <w:sz w:val="24"/>
          <w:szCs w:val="24"/>
          <w:lang w:val="mk-MK"/>
        </w:rPr>
        <w:t xml:space="preserve"> беше ориентирана кон зголемување на јавното штедење. Општата стапка на ДДВ се зголеми од 10% на 15%, се зголемија царините на одделни добра и услуги, се намалија расходите на јавниот сектор за 10% за разлика од претходната година.</w:t>
      </w:r>
      <w:r w:rsidR="004D1D58">
        <w:rPr>
          <w:rFonts w:ascii="Arial" w:hAnsi="Arial" w:cs="Arial"/>
          <w:sz w:val="24"/>
          <w:szCs w:val="24"/>
          <w:lang w:val="mk-MK"/>
        </w:rPr>
        <w:t xml:space="preserve"> </w:t>
      </w:r>
      <w:proofErr w:type="gramStart"/>
      <w:r w:rsidR="004D1D58" w:rsidRPr="00190912">
        <w:rPr>
          <w:rFonts w:ascii="Arial" w:hAnsi="Arial" w:cs="Arial"/>
          <w:sz w:val="24"/>
          <w:szCs w:val="24"/>
        </w:rPr>
        <w:t>Овие мерки беа доволни да се сопре капиталниот одлив</w:t>
      </w:r>
      <w:r w:rsidR="004D1D58">
        <w:rPr>
          <w:rFonts w:ascii="Arial" w:hAnsi="Arial" w:cs="Arial"/>
          <w:sz w:val="24"/>
          <w:szCs w:val="24"/>
          <w:lang w:val="mk-MK"/>
        </w:rPr>
        <w:t xml:space="preserve"> и да се извлече земјата од финансиската криза</w:t>
      </w:r>
      <w:r w:rsidR="004D1D58" w:rsidRPr="00190912">
        <w:rPr>
          <w:rFonts w:ascii="Arial" w:hAnsi="Arial" w:cs="Arial"/>
          <w:sz w:val="24"/>
          <w:szCs w:val="24"/>
        </w:rPr>
        <w:t>.</w:t>
      </w:r>
      <w:proofErr w:type="gramEnd"/>
      <w:r w:rsidR="004D1D58">
        <w:rPr>
          <w:rFonts w:ascii="Arial" w:hAnsi="Arial" w:cs="Arial"/>
          <w:sz w:val="24"/>
          <w:szCs w:val="24"/>
          <w:lang w:val="mk-MK"/>
        </w:rPr>
        <w:t xml:space="preserve"> </w:t>
      </w:r>
    </w:p>
    <w:p w:rsidR="004D1D58" w:rsidRDefault="004D1D58" w:rsidP="00361EA2">
      <w:pPr>
        <w:spacing w:after="0"/>
        <w:jc w:val="both"/>
        <w:rPr>
          <w:rFonts w:ascii="Arial" w:hAnsi="Arial" w:cs="Arial"/>
          <w:sz w:val="24"/>
          <w:szCs w:val="24"/>
          <w:lang w:val="mk-MK"/>
        </w:rPr>
      </w:pPr>
    </w:p>
    <w:p w:rsidR="00C571CD" w:rsidRPr="00361EA2" w:rsidRDefault="00361EA2" w:rsidP="00361EA2">
      <w:pPr>
        <w:spacing w:after="0"/>
        <w:jc w:val="center"/>
        <w:rPr>
          <w:rFonts w:ascii="Arial" w:hAnsi="Arial" w:cs="Arial"/>
          <w:b/>
          <w:sz w:val="24"/>
          <w:szCs w:val="24"/>
          <w:lang w:val="mk-MK"/>
        </w:rPr>
      </w:pPr>
      <w:r w:rsidRPr="00361EA2">
        <w:rPr>
          <w:rFonts w:ascii="Arial" w:hAnsi="Arial" w:cs="Arial"/>
          <w:b/>
          <w:sz w:val="24"/>
          <w:szCs w:val="24"/>
          <w:lang w:val="mk-MK"/>
        </w:rPr>
        <w:t>Користена литература</w:t>
      </w:r>
    </w:p>
    <w:p w:rsidR="00C571CD" w:rsidRPr="00C571CD" w:rsidRDefault="00C571CD" w:rsidP="00361EA2">
      <w:pPr>
        <w:spacing w:after="0" w:line="240" w:lineRule="auto"/>
        <w:rPr>
          <w:rFonts w:ascii="Arial" w:hAnsi="Arial" w:cs="Arial"/>
          <w:sz w:val="24"/>
          <w:szCs w:val="24"/>
        </w:rPr>
      </w:pPr>
    </w:p>
    <w:p w:rsidR="00C571CD" w:rsidRPr="00A8357C" w:rsidRDefault="00C571CD" w:rsidP="00361EA2">
      <w:pPr>
        <w:autoSpaceDE w:val="0"/>
        <w:autoSpaceDN w:val="0"/>
        <w:adjustRightInd w:val="0"/>
        <w:spacing w:after="0" w:line="240" w:lineRule="auto"/>
        <w:ind w:firstLine="720"/>
        <w:jc w:val="both"/>
        <w:rPr>
          <w:rFonts w:ascii="Arial" w:hAnsi="Arial" w:cs="Arial"/>
          <w:sz w:val="24"/>
          <w:szCs w:val="24"/>
        </w:rPr>
      </w:pPr>
      <w:r w:rsidRPr="00A8357C">
        <w:rPr>
          <w:rFonts w:ascii="Arial" w:hAnsi="Arial" w:cs="Arial"/>
          <w:sz w:val="24"/>
          <w:szCs w:val="24"/>
        </w:rPr>
        <w:t xml:space="preserve">Kaminsky, G.L., Reinhart, C.M., 1996. The twin crises: The causes of banking and balance </w:t>
      </w:r>
      <w:proofErr w:type="gramStart"/>
      <w:r w:rsidRPr="00A8357C">
        <w:rPr>
          <w:rFonts w:ascii="Arial" w:hAnsi="Arial" w:cs="Arial"/>
          <w:sz w:val="24"/>
          <w:szCs w:val="24"/>
        </w:rPr>
        <w:t>of  payments</w:t>
      </w:r>
      <w:proofErr w:type="gramEnd"/>
      <w:r w:rsidRPr="00A8357C">
        <w:rPr>
          <w:rFonts w:ascii="Arial" w:hAnsi="Arial" w:cs="Arial"/>
          <w:sz w:val="24"/>
          <w:szCs w:val="24"/>
        </w:rPr>
        <w:t xml:space="preserve"> problems. </w:t>
      </w:r>
      <w:proofErr w:type="gramStart"/>
      <w:r w:rsidRPr="00A8357C">
        <w:rPr>
          <w:rFonts w:ascii="Arial" w:hAnsi="Arial" w:cs="Arial"/>
          <w:sz w:val="24"/>
          <w:szCs w:val="24"/>
        </w:rPr>
        <w:t>Mimeo.,</w:t>
      </w:r>
      <w:proofErr w:type="gramEnd"/>
      <w:r w:rsidRPr="00A8357C">
        <w:rPr>
          <w:rFonts w:ascii="Arial" w:hAnsi="Arial" w:cs="Arial"/>
          <w:sz w:val="24"/>
          <w:szCs w:val="24"/>
        </w:rPr>
        <w:t xml:space="preserve"> Board of Governors of the Federal Reserve System, Washington, DC, February.</w:t>
      </w:r>
    </w:p>
    <w:p w:rsidR="00190912" w:rsidRPr="00A8357C" w:rsidRDefault="00C571CD" w:rsidP="00361EA2">
      <w:pPr>
        <w:spacing w:after="0" w:line="240" w:lineRule="auto"/>
        <w:ind w:firstLine="720"/>
        <w:jc w:val="both"/>
        <w:rPr>
          <w:rFonts w:ascii="Arial" w:hAnsi="Arial" w:cs="Arial"/>
          <w:sz w:val="24"/>
          <w:szCs w:val="24"/>
        </w:rPr>
      </w:pPr>
      <w:r w:rsidRPr="00A8357C">
        <w:rPr>
          <w:rFonts w:ascii="Arial" w:hAnsi="Arial" w:cs="Arial"/>
          <w:sz w:val="24"/>
          <w:szCs w:val="24"/>
        </w:rPr>
        <w:t xml:space="preserve">Bernanke, B.S., 1983. </w:t>
      </w:r>
      <w:proofErr w:type="gramStart"/>
      <w:r w:rsidRPr="00A8357C">
        <w:rPr>
          <w:rFonts w:ascii="Arial" w:hAnsi="Arial" w:cs="Arial"/>
          <w:sz w:val="24"/>
          <w:szCs w:val="24"/>
        </w:rPr>
        <w:t>Non-monetary effects of the financial crisis in the propagation of the Great Depression.</w:t>
      </w:r>
      <w:proofErr w:type="gramEnd"/>
      <w:r w:rsidRPr="00A8357C">
        <w:rPr>
          <w:rFonts w:ascii="Arial" w:hAnsi="Arial" w:cs="Arial"/>
          <w:sz w:val="24"/>
          <w:szCs w:val="24"/>
        </w:rPr>
        <w:t xml:space="preserve"> </w:t>
      </w:r>
      <w:proofErr w:type="gramStart"/>
      <w:r w:rsidRPr="00A8357C">
        <w:rPr>
          <w:rFonts w:ascii="Arial" w:hAnsi="Arial" w:cs="Arial"/>
          <w:sz w:val="24"/>
          <w:szCs w:val="24"/>
        </w:rPr>
        <w:t>American Economic Review 73, 257±276.</w:t>
      </w:r>
      <w:proofErr w:type="gramEnd"/>
    </w:p>
    <w:p w:rsidR="00A8357C" w:rsidRPr="00A8357C" w:rsidRDefault="00A8357C" w:rsidP="00361EA2">
      <w:pPr>
        <w:autoSpaceDE w:val="0"/>
        <w:autoSpaceDN w:val="0"/>
        <w:adjustRightInd w:val="0"/>
        <w:spacing w:after="0" w:line="240" w:lineRule="auto"/>
        <w:ind w:firstLine="720"/>
        <w:jc w:val="both"/>
        <w:rPr>
          <w:rFonts w:ascii="Arial" w:hAnsi="Arial" w:cs="Arial"/>
          <w:sz w:val="24"/>
          <w:szCs w:val="24"/>
        </w:rPr>
      </w:pPr>
      <w:proofErr w:type="gramStart"/>
      <w:r w:rsidRPr="00A8357C">
        <w:rPr>
          <w:rFonts w:ascii="Arial" w:hAnsi="Arial" w:cs="Arial"/>
          <w:sz w:val="24"/>
          <w:szCs w:val="24"/>
        </w:rPr>
        <w:t>Rojas-Suarez, L., Weisbrod, S.R., 1994.</w:t>
      </w:r>
      <w:proofErr w:type="gramEnd"/>
      <w:r w:rsidRPr="00A8357C">
        <w:rPr>
          <w:rFonts w:ascii="Arial" w:hAnsi="Arial" w:cs="Arial"/>
          <w:sz w:val="24"/>
          <w:szCs w:val="24"/>
        </w:rPr>
        <w:t xml:space="preserve"> Financial market fragilities in </w:t>
      </w:r>
      <w:proofErr w:type="gramStart"/>
      <w:r w:rsidRPr="00A8357C">
        <w:rPr>
          <w:rFonts w:ascii="Arial" w:hAnsi="Arial" w:cs="Arial"/>
          <w:sz w:val="24"/>
          <w:szCs w:val="24"/>
        </w:rPr>
        <w:t>latin america</w:t>
      </w:r>
      <w:proofErr w:type="gramEnd"/>
      <w:r w:rsidRPr="00A8357C">
        <w:rPr>
          <w:rFonts w:ascii="Arial" w:hAnsi="Arial" w:cs="Arial"/>
          <w:sz w:val="24"/>
          <w:szCs w:val="24"/>
        </w:rPr>
        <w:t>: from banking crisis resolution to current policy challenges. Working paper 94/117, IMF, Washington, DC, October.</w:t>
      </w:r>
    </w:p>
    <w:p w:rsidR="00A8357C" w:rsidRPr="00A8357C" w:rsidRDefault="00A8357C" w:rsidP="00361EA2">
      <w:pPr>
        <w:spacing w:after="0" w:line="240" w:lineRule="auto"/>
        <w:ind w:firstLine="720"/>
        <w:jc w:val="both"/>
        <w:rPr>
          <w:rFonts w:ascii="Arial" w:hAnsi="Arial" w:cs="Arial"/>
          <w:sz w:val="24"/>
          <w:szCs w:val="24"/>
        </w:rPr>
      </w:pPr>
      <w:proofErr w:type="gramStart"/>
      <w:r w:rsidRPr="00A8357C">
        <w:rPr>
          <w:rFonts w:ascii="Arial" w:hAnsi="Arial" w:cs="Arial"/>
          <w:sz w:val="24"/>
          <w:szCs w:val="24"/>
        </w:rPr>
        <w:t>Antonio Spilbergo, Steve Symansky, Olivies Blanchard and Carlo Cottarelli (2009).</w:t>
      </w:r>
      <w:proofErr w:type="gramEnd"/>
      <w:r w:rsidRPr="00A8357C">
        <w:rPr>
          <w:rFonts w:ascii="Arial" w:hAnsi="Arial" w:cs="Arial"/>
          <w:sz w:val="24"/>
          <w:szCs w:val="24"/>
        </w:rPr>
        <w:t xml:space="preserve"> “Fiscal policy for the crisis”, </w:t>
      </w:r>
      <w:r w:rsidRPr="00A8357C">
        <w:rPr>
          <w:rFonts w:ascii="Arial" w:hAnsi="Arial" w:cs="Arial"/>
          <w:i/>
          <w:sz w:val="24"/>
          <w:szCs w:val="24"/>
        </w:rPr>
        <w:t>IMF 2009</w:t>
      </w:r>
      <w:r w:rsidRPr="00A8357C">
        <w:rPr>
          <w:rFonts w:ascii="Arial" w:hAnsi="Arial" w:cs="Arial"/>
          <w:sz w:val="24"/>
          <w:szCs w:val="24"/>
        </w:rPr>
        <w:t>;</w:t>
      </w:r>
    </w:p>
    <w:p w:rsidR="00A8357C" w:rsidRPr="00A8357C" w:rsidRDefault="00A8357C" w:rsidP="00361EA2">
      <w:pPr>
        <w:pStyle w:val="FootnoteText"/>
        <w:ind w:firstLine="720"/>
        <w:jc w:val="both"/>
        <w:rPr>
          <w:rFonts w:ascii="Arial" w:hAnsi="Arial" w:cs="Arial"/>
          <w:sz w:val="24"/>
          <w:szCs w:val="24"/>
        </w:rPr>
      </w:pPr>
      <w:r w:rsidRPr="00A8357C">
        <w:rPr>
          <w:rFonts w:ascii="Arial" w:hAnsi="Arial" w:cs="Arial"/>
          <w:sz w:val="24"/>
          <w:szCs w:val="24"/>
        </w:rPr>
        <w:t>Richard Hemming, Michael Kell and Axel Schimmelpfenning (2003):„Fiscal Vulnerability and Financial Crises in Emerging Market Economies“</w:t>
      </w:r>
      <w:proofErr w:type="gramStart"/>
      <w:r w:rsidRPr="00A8357C">
        <w:rPr>
          <w:rFonts w:ascii="Arial" w:hAnsi="Arial" w:cs="Arial"/>
          <w:sz w:val="24"/>
          <w:szCs w:val="24"/>
        </w:rPr>
        <w:t>,International</w:t>
      </w:r>
      <w:proofErr w:type="gramEnd"/>
      <w:r w:rsidRPr="00A8357C">
        <w:rPr>
          <w:rFonts w:ascii="Arial" w:hAnsi="Arial" w:cs="Arial"/>
          <w:sz w:val="24"/>
          <w:szCs w:val="24"/>
        </w:rPr>
        <w:t xml:space="preserve"> Monetary Fund, Washington DC.</w:t>
      </w:r>
    </w:p>
    <w:p w:rsidR="00A8357C" w:rsidRPr="00A8357C" w:rsidRDefault="00A8357C" w:rsidP="00361EA2">
      <w:pPr>
        <w:autoSpaceDE w:val="0"/>
        <w:autoSpaceDN w:val="0"/>
        <w:adjustRightInd w:val="0"/>
        <w:spacing w:after="0" w:line="240" w:lineRule="auto"/>
        <w:ind w:firstLine="720"/>
        <w:jc w:val="both"/>
        <w:rPr>
          <w:rFonts w:ascii="Arial" w:hAnsi="Arial" w:cs="Arial"/>
          <w:sz w:val="24"/>
          <w:szCs w:val="24"/>
        </w:rPr>
      </w:pPr>
      <w:r w:rsidRPr="00A8357C">
        <w:rPr>
          <w:rFonts w:ascii="Arial" w:hAnsi="Arial" w:cs="Arial"/>
          <w:sz w:val="24"/>
          <w:szCs w:val="24"/>
        </w:rPr>
        <w:t xml:space="preserve">Mishkin, F.S., 1996. </w:t>
      </w:r>
      <w:proofErr w:type="gramStart"/>
      <w:r w:rsidRPr="00A8357C">
        <w:rPr>
          <w:rFonts w:ascii="Arial" w:hAnsi="Arial" w:cs="Arial"/>
          <w:sz w:val="24"/>
          <w:szCs w:val="24"/>
        </w:rPr>
        <w:t>Understanding Financial Crises: A Developing Country Perspective.</w:t>
      </w:r>
      <w:proofErr w:type="gramEnd"/>
      <w:r w:rsidRPr="00A8357C">
        <w:rPr>
          <w:rFonts w:ascii="Arial" w:hAnsi="Arial" w:cs="Arial"/>
          <w:sz w:val="24"/>
          <w:szCs w:val="24"/>
        </w:rPr>
        <w:t xml:space="preserve"> </w:t>
      </w:r>
      <w:proofErr w:type="gramStart"/>
      <w:r w:rsidRPr="00A8357C">
        <w:rPr>
          <w:rFonts w:ascii="Arial" w:hAnsi="Arial" w:cs="Arial"/>
          <w:sz w:val="24"/>
          <w:szCs w:val="24"/>
        </w:rPr>
        <w:t>Annual World Bank Conference on Development Economics.</w:t>
      </w:r>
      <w:proofErr w:type="gramEnd"/>
      <w:r w:rsidRPr="00A8357C">
        <w:rPr>
          <w:rFonts w:ascii="Arial" w:hAnsi="Arial" w:cs="Arial"/>
          <w:sz w:val="24"/>
          <w:szCs w:val="24"/>
        </w:rPr>
        <w:t xml:space="preserve"> </w:t>
      </w:r>
      <w:proofErr w:type="gramStart"/>
      <w:r w:rsidRPr="00A8357C">
        <w:rPr>
          <w:rFonts w:ascii="Arial" w:hAnsi="Arial" w:cs="Arial"/>
          <w:sz w:val="24"/>
          <w:szCs w:val="24"/>
        </w:rPr>
        <w:t>World Bank, Washington, DC, pp. 29± 62.</w:t>
      </w:r>
      <w:proofErr w:type="gramEnd"/>
    </w:p>
    <w:p w:rsidR="00A8357C" w:rsidRPr="00A8357C" w:rsidRDefault="00A8357C" w:rsidP="00361EA2">
      <w:pPr>
        <w:pStyle w:val="FootnoteText"/>
        <w:ind w:firstLine="720"/>
        <w:jc w:val="both"/>
        <w:rPr>
          <w:rFonts w:ascii="Arial" w:eastAsia="Calibri" w:hAnsi="Arial" w:cs="Arial"/>
          <w:sz w:val="24"/>
          <w:szCs w:val="24"/>
          <w:lang w:val="mk-MK"/>
        </w:rPr>
      </w:pPr>
      <w:proofErr w:type="gramStart"/>
      <w:r w:rsidRPr="00A8357C">
        <w:rPr>
          <w:rFonts w:ascii="Arial" w:eastAsia="Calibri" w:hAnsi="Arial" w:cs="Arial"/>
          <w:sz w:val="24"/>
          <w:szCs w:val="24"/>
        </w:rPr>
        <w:t>Василка Габер (2010</w:t>
      </w:r>
      <w:r w:rsidRPr="00A8357C">
        <w:rPr>
          <w:rFonts w:ascii="Arial" w:eastAsia="Calibri" w:hAnsi="Arial" w:cs="Arial"/>
          <w:i/>
          <w:sz w:val="24"/>
          <w:szCs w:val="24"/>
        </w:rPr>
        <w:t>), “Фискалната политика во услови на финансиска криза”</w:t>
      </w:r>
      <w:r w:rsidRPr="00A8357C">
        <w:rPr>
          <w:rFonts w:ascii="Arial" w:eastAsia="Calibri" w:hAnsi="Arial" w:cs="Arial"/>
          <w:sz w:val="24"/>
          <w:szCs w:val="24"/>
        </w:rPr>
        <w:t xml:space="preserve">, Глава </w:t>
      </w:r>
      <w:r w:rsidRPr="00A8357C">
        <w:rPr>
          <w:rFonts w:ascii="Arial" w:hAnsi="Arial" w:cs="Arial"/>
          <w:sz w:val="24"/>
          <w:szCs w:val="24"/>
          <w:lang w:val="mk-MK"/>
        </w:rPr>
        <w:t>5</w:t>
      </w:r>
      <w:r w:rsidRPr="00A8357C">
        <w:rPr>
          <w:rFonts w:ascii="Arial" w:eastAsia="Calibri" w:hAnsi="Arial" w:cs="Arial"/>
          <w:sz w:val="24"/>
          <w:szCs w:val="24"/>
          <w:lang w:val="mk-MK"/>
        </w:rPr>
        <w:t>, октомври.</w:t>
      </w:r>
      <w:proofErr w:type="gramEnd"/>
    </w:p>
    <w:p w:rsidR="00A8357C" w:rsidRPr="00A8357C" w:rsidRDefault="00A8357C" w:rsidP="00361EA2">
      <w:pPr>
        <w:pStyle w:val="FootnoteText"/>
        <w:ind w:firstLine="720"/>
        <w:jc w:val="both"/>
        <w:rPr>
          <w:rFonts w:ascii="Arial" w:eastAsia="Calibri" w:hAnsi="Arial" w:cs="Arial"/>
          <w:sz w:val="24"/>
          <w:szCs w:val="24"/>
        </w:rPr>
      </w:pPr>
      <w:r w:rsidRPr="00A8357C">
        <w:rPr>
          <w:rFonts w:ascii="Arial" w:eastAsia="Calibri" w:hAnsi="Arial" w:cs="Arial"/>
          <w:sz w:val="24"/>
          <w:szCs w:val="24"/>
        </w:rPr>
        <w:t xml:space="preserve">Mishkin, F.S., 1999. </w:t>
      </w:r>
      <w:proofErr w:type="gramStart"/>
      <w:r w:rsidRPr="00A8357C">
        <w:rPr>
          <w:rFonts w:ascii="Arial" w:eastAsia="Calibri" w:hAnsi="Arial" w:cs="Arial"/>
          <w:sz w:val="24"/>
          <w:szCs w:val="24"/>
        </w:rPr>
        <w:t>Lessons from the Tequila Crisis, Journal of Banking and Finance 23, USA, NewYork.</w:t>
      </w:r>
      <w:proofErr w:type="gramEnd"/>
      <w:r w:rsidRPr="00A8357C">
        <w:rPr>
          <w:rFonts w:ascii="Arial" w:eastAsia="Calibri" w:hAnsi="Arial" w:cs="Arial"/>
          <w:sz w:val="24"/>
          <w:szCs w:val="24"/>
        </w:rPr>
        <w:t xml:space="preserve"> </w:t>
      </w:r>
    </w:p>
    <w:p w:rsidR="00A8357C" w:rsidRPr="00361EA2" w:rsidRDefault="00447127" w:rsidP="00361EA2">
      <w:pPr>
        <w:autoSpaceDE w:val="0"/>
        <w:autoSpaceDN w:val="0"/>
        <w:adjustRightInd w:val="0"/>
        <w:spacing w:after="0" w:line="240" w:lineRule="auto"/>
        <w:ind w:firstLine="720"/>
        <w:rPr>
          <w:rFonts w:ascii="Arial" w:hAnsi="Arial" w:cs="Arial"/>
          <w:color w:val="231F20"/>
          <w:sz w:val="24"/>
          <w:szCs w:val="24"/>
          <w:lang w:val="mk-MK"/>
        </w:rPr>
      </w:pPr>
      <w:r w:rsidRPr="00447127">
        <w:rPr>
          <w:rFonts w:ascii="Arial" w:hAnsi="Arial" w:cs="Arial"/>
          <w:color w:val="231F20"/>
          <w:sz w:val="24"/>
          <w:szCs w:val="24"/>
        </w:rPr>
        <w:t xml:space="preserve">Lustig, Nora, 1995, “The Mexican Peso Crisis: The Foreseeable and the Surprise,” (unpublished, Washington: Brookings Institution). Published in Spanish as “México y La Crisis Del Peso: Lo Previsible y La Sorpresa,” </w:t>
      </w:r>
      <w:r w:rsidRPr="00447127">
        <w:rPr>
          <w:rFonts w:ascii="Arial" w:hAnsi="Arial" w:cs="Arial"/>
          <w:i/>
          <w:iCs/>
          <w:color w:val="231F20"/>
          <w:sz w:val="24"/>
          <w:szCs w:val="24"/>
        </w:rPr>
        <w:t>Comercio Exterior</w:t>
      </w:r>
      <w:r w:rsidRPr="00447127">
        <w:rPr>
          <w:rFonts w:ascii="Arial" w:hAnsi="Arial" w:cs="Arial"/>
          <w:color w:val="231F20"/>
          <w:sz w:val="24"/>
          <w:szCs w:val="24"/>
        </w:rPr>
        <w:t>, Vol. 45, No. 5 (May)</w:t>
      </w:r>
      <w:r>
        <w:rPr>
          <w:rFonts w:ascii="Arial" w:hAnsi="Arial" w:cs="Arial"/>
          <w:color w:val="231F20"/>
          <w:sz w:val="24"/>
          <w:szCs w:val="24"/>
        </w:rPr>
        <w:t>.</w:t>
      </w:r>
    </w:p>
    <w:p w:rsidR="00190912" w:rsidRPr="00190912" w:rsidRDefault="00190912" w:rsidP="00361EA2">
      <w:pPr>
        <w:rPr>
          <w:rFonts w:ascii="Arial" w:hAnsi="Arial" w:cs="Arial"/>
          <w:sz w:val="24"/>
          <w:szCs w:val="24"/>
          <w:lang w:val="mk-MK"/>
        </w:rPr>
      </w:pPr>
    </w:p>
    <w:sectPr w:rsidR="00190912" w:rsidRPr="00190912" w:rsidSect="00A86F04">
      <w:footerReference w:type="default" r:id="rId8"/>
      <w:pgSz w:w="12240" w:h="15840" w:code="1"/>
      <w:pgMar w:top="1418" w:right="1440"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65" w:rsidRDefault="00A92865" w:rsidP="00F4590E">
      <w:pPr>
        <w:spacing w:after="0" w:line="240" w:lineRule="auto"/>
      </w:pPr>
      <w:r>
        <w:separator/>
      </w:r>
    </w:p>
  </w:endnote>
  <w:endnote w:type="continuationSeparator" w:id="0">
    <w:p w:rsidR="00A92865" w:rsidRDefault="00A92865" w:rsidP="00F45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6952"/>
      <w:docPartObj>
        <w:docPartGallery w:val="Page Numbers (Bottom of Page)"/>
        <w:docPartUnique/>
      </w:docPartObj>
    </w:sdtPr>
    <w:sdtContent>
      <w:p w:rsidR="00C571CD" w:rsidRDefault="00E40F28">
        <w:pPr>
          <w:pStyle w:val="Footer"/>
          <w:jc w:val="center"/>
        </w:pPr>
        <w:fldSimple w:instr=" PAGE   \* MERGEFORMAT ">
          <w:r w:rsidR="00097AC8">
            <w:rPr>
              <w:noProof/>
            </w:rPr>
            <w:t>1</w:t>
          </w:r>
        </w:fldSimple>
      </w:p>
    </w:sdtContent>
  </w:sdt>
  <w:p w:rsidR="00C571CD" w:rsidRDefault="00C57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65" w:rsidRDefault="00A92865" w:rsidP="00F4590E">
      <w:pPr>
        <w:spacing w:after="0" w:line="240" w:lineRule="auto"/>
      </w:pPr>
      <w:r>
        <w:separator/>
      </w:r>
    </w:p>
  </w:footnote>
  <w:footnote w:type="continuationSeparator" w:id="0">
    <w:p w:rsidR="00A92865" w:rsidRDefault="00A92865" w:rsidP="00F4590E">
      <w:pPr>
        <w:spacing w:after="0" w:line="240" w:lineRule="auto"/>
      </w:pPr>
      <w:r>
        <w:continuationSeparator/>
      </w:r>
    </w:p>
  </w:footnote>
  <w:footnote w:id="1">
    <w:p w:rsidR="00C571CD" w:rsidRPr="00170F10" w:rsidRDefault="00C571CD" w:rsidP="00170F10">
      <w:pPr>
        <w:autoSpaceDE w:val="0"/>
        <w:autoSpaceDN w:val="0"/>
        <w:adjustRightInd w:val="0"/>
        <w:spacing w:after="0" w:line="240" w:lineRule="auto"/>
        <w:jc w:val="both"/>
        <w:rPr>
          <w:rFonts w:ascii="Arial" w:hAnsi="Arial" w:cs="Arial"/>
          <w:sz w:val="20"/>
          <w:szCs w:val="20"/>
        </w:rPr>
      </w:pPr>
      <w:r w:rsidRPr="00170F10">
        <w:rPr>
          <w:rStyle w:val="FootnoteReference"/>
          <w:rFonts w:ascii="Arial" w:hAnsi="Arial" w:cs="Arial"/>
          <w:sz w:val="20"/>
          <w:szCs w:val="20"/>
        </w:rPr>
        <w:footnoteRef/>
      </w:r>
      <w:r w:rsidRPr="00170F10">
        <w:rPr>
          <w:rFonts w:ascii="Arial" w:hAnsi="Arial" w:cs="Arial"/>
          <w:sz w:val="20"/>
          <w:szCs w:val="20"/>
        </w:rPr>
        <w:t xml:space="preserve"> Kaminsky, G.L., Reinhart, C.M., 1996. The twin crises: The c</w:t>
      </w:r>
      <w:r w:rsidR="00361EA2">
        <w:rPr>
          <w:rFonts w:ascii="Arial" w:hAnsi="Arial" w:cs="Arial"/>
          <w:sz w:val="20"/>
          <w:szCs w:val="20"/>
        </w:rPr>
        <w:t xml:space="preserve">auses of banking and balance of payments problems. </w:t>
      </w:r>
      <w:proofErr w:type="gramStart"/>
      <w:r w:rsidR="00361EA2">
        <w:rPr>
          <w:rFonts w:ascii="Arial" w:hAnsi="Arial" w:cs="Arial"/>
          <w:sz w:val="20"/>
          <w:szCs w:val="20"/>
        </w:rPr>
        <w:t>Mimeo.</w:t>
      </w:r>
      <w:proofErr w:type="gramEnd"/>
      <w:r w:rsidR="00361EA2">
        <w:rPr>
          <w:rFonts w:ascii="Arial" w:hAnsi="Arial" w:cs="Arial"/>
          <w:sz w:val="20"/>
          <w:szCs w:val="20"/>
          <w:lang w:val="mk-MK"/>
        </w:rPr>
        <w:t xml:space="preserve"> </w:t>
      </w:r>
      <w:proofErr w:type="gramStart"/>
      <w:r w:rsidRPr="00170F10">
        <w:rPr>
          <w:rFonts w:ascii="Arial" w:hAnsi="Arial" w:cs="Arial"/>
          <w:sz w:val="20"/>
          <w:szCs w:val="20"/>
        </w:rPr>
        <w:t>Board of Governors of the Federal Reserve System, Washington, DC, February.</w:t>
      </w:r>
      <w:proofErr w:type="gramEnd"/>
    </w:p>
  </w:footnote>
  <w:footnote w:id="2">
    <w:p w:rsidR="00C571CD" w:rsidRPr="00170F10" w:rsidRDefault="00C571CD" w:rsidP="00170F10">
      <w:pPr>
        <w:autoSpaceDE w:val="0"/>
        <w:autoSpaceDN w:val="0"/>
        <w:adjustRightInd w:val="0"/>
        <w:spacing w:after="0" w:line="240" w:lineRule="auto"/>
        <w:jc w:val="both"/>
        <w:rPr>
          <w:rFonts w:ascii="Arial" w:hAnsi="Arial" w:cs="Arial"/>
          <w:sz w:val="20"/>
          <w:szCs w:val="20"/>
        </w:rPr>
      </w:pPr>
      <w:r w:rsidRPr="00170F10">
        <w:rPr>
          <w:rStyle w:val="FootnoteReference"/>
          <w:rFonts w:ascii="Arial" w:hAnsi="Arial" w:cs="Arial"/>
          <w:sz w:val="20"/>
          <w:szCs w:val="20"/>
        </w:rPr>
        <w:footnoteRef/>
      </w:r>
      <w:r w:rsidRPr="00170F10">
        <w:rPr>
          <w:rFonts w:ascii="Arial" w:hAnsi="Arial" w:cs="Arial"/>
          <w:sz w:val="20"/>
          <w:szCs w:val="20"/>
        </w:rPr>
        <w:t xml:space="preserve"> Berna</w:t>
      </w:r>
      <w:r>
        <w:rPr>
          <w:rFonts w:ascii="Arial" w:hAnsi="Arial" w:cs="Arial"/>
          <w:sz w:val="20"/>
          <w:szCs w:val="20"/>
        </w:rPr>
        <w:t xml:space="preserve">nke, B.S., 1983. </w:t>
      </w:r>
      <w:proofErr w:type="gramStart"/>
      <w:r>
        <w:rPr>
          <w:rFonts w:ascii="Arial" w:hAnsi="Arial" w:cs="Arial"/>
          <w:sz w:val="20"/>
          <w:szCs w:val="20"/>
        </w:rPr>
        <w:t>Non-monetary effects of the fi</w:t>
      </w:r>
      <w:r w:rsidRPr="00170F10">
        <w:rPr>
          <w:rFonts w:ascii="Arial" w:hAnsi="Arial" w:cs="Arial"/>
          <w:sz w:val="20"/>
          <w:szCs w:val="20"/>
        </w:rPr>
        <w:t>nancial crisis in the propagation of the Great Depression.</w:t>
      </w:r>
      <w:proofErr w:type="gramEnd"/>
      <w:r w:rsidRPr="00170F10">
        <w:rPr>
          <w:rFonts w:ascii="Arial" w:hAnsi="Arial" w:cs="Arial"/>
          <w:sz w:val="20"/>
          <w:szCs w:val="20"/>
        </w:rPr>
        <w:t xml:space="preserve"> </w:t>
      </w:r>
      <w:proofErr w:type="gramStart"/>
      <w:r w:rsidRPr="00170F10">
        <w:rPr>
          <w:rFonts w:ascii="Arial" w:hAnsi="Arial" w:cs="Arial"/>
          <w:sz w:val="20"/>
          <w:szCs w:val="20"/>
        </w:rPr>
        <w:t>American Economic Review 73, 257±276.</w:t>
      </w:r>
      <w:proofErr w:type="gramEnd"/>
    </w:p>
  </w:footnote>
  <w:footnote w:id="3">
    <w:p w:rsidR="00C571CD" w:rsidRPr="00170F10" w:rsidRDefault="00C571CD" w:rsidP="00170F10">
      <w:pPr>
        <w:tabs>
          <w:tab w:val="left" w:pos="567"/>
        </w:tabs>
        <w:jc w:val="both"/>
        <w:rPr>
          <w:rFonts w:ascii="Arial" w:hAnsi="Arial" w:cs="Arial"/>
          <w:sz w:val="20"/>
          <w:szCs w:val="20"/>
        </w:rPr>
      </w:pPr>
      <w:r w:rsidRPr="00170F10">
        <w:rPr>
          <w:rStyle w:val="FootnoteReference"/>
          <w:rFonts w:ascii="Arial" w:hAnsi="Arial" w:cs="Arial"/>
          <w:sz w:val="20"/>
          <w:szCs w:val="20"/>
        </w:rPr>
        <w:footnoteRef/>
      </w:r>
      <w:r w:rsidRPr="00170F10">
        <w:rPr>
          <w:rFonts w:ascii="Arial" w:hAnsi="Arial" w:cs="Arial"/>
          <w:sz w:val="20"/>
          <w:szCs w:val="20"/>
        </w:rPr>
        <w:t xml:space="preserve"> Antonio Spilbergo, Steve Symansky, Olivies Blanchard and Carlo Cottarelli (2009). “Fiscal policy for the crisis”, </w:t>
      </w:r>
      <w:r w:rsidRPr="00170F10">
        <w:rPr>
          <w:rFonts w:ascii="Arial" w:hAnsi="Arial" w:cs="Arial"/>
          <w:i/>
          <w:sz w:val="20"/>
          <w:szCs w:val="20"/>
        </w:rPr>
        <w:t>IMF 2009</w:t>
      </w:r>
      <w:r w:rsidRPr="00170F10">
        <w:rPr>
          <w:rFonts w:ascii="Arial" w:hAnsi="Arial" w:cs="Arial"/>
          <w:sz w:val="20"/>
          <w:szCs w:val="20"/>
        </w:rPr>
        <w:t>;</w:t>
      </w:r>
    </w:p>
    <w:p w:rsidR="00C571CD" w:rsidRDefault="00C571CD">
      <w:pPr>
        <w:pStyle w:val="FootnoteText"/>
      </w:pPr>
    </w:p>
  </w:footnote>
  <w:footnote w:id="4">
    <w:p w:rsidR="00C571CD" w:rsidRPr="00170F10" w:rsidRDefault="00C571CD" w:rsidP="00170F10">
      <w:pPr>
        <w:autoSpaceDE w:val="0"/>
        <w:autoSpaceDN w:val="0"/>
        <w:adjustRightInd w:val="0"/>
        <w:spacing w:after="0" w:line="240" w:lineRule="auto"/>
        <w:rPr>
          <w:rFonts w:ascii="Arial" w:hAnsi="Arial" w:cs="Arial"/>
          <w:sz w:val="20"/>
          <w:szCs w:val="20"/>
        </w:rPr>
      </w:pPr>
      <w:r w:rsidRPr="00170F10">
        <w:rPr>
          <w:rStyle w:val="FootnoteReference"/>
          <w:rFonts w:ascii="Arial" w:hAnsi="Arial" w:cs="Arial"/>
          <w:sz w:val="20"/>
          <w:szCs w:val="20"/>
        </w:rPr>
        <w:footnoteRef/>
      </w:r>
      <w:r w:rsidRPr="00170F10">
        <w:rPr>
          <w:rFonts w:ascii="Arial" w:hAnsi="Arial" w:cs="Arial"/>
          <w:sz w:val="20"/>
          <w:szCs w:val="20"/>
        </w:rPr>
        <w:t xml:space="preserve"> Rojas-Suarez, L., Weisbrod, S.R., 1994. Financial market fragilities in </w:t>
      </w:r>
      <w:proofErr w:type="gramStart"/>
      <w:r w:rsidRPr="00170F10">
        <w:rPr>
          <w:rFonts w:ascii="Arial" w:hAnsi="Arial" w:cs="Arial"/>
          <w:sz w:val="20"/>
          <w:szCs w:val="20"/>
        </w:rPr>
        <w:t>latin america</w:t>
      </w:r>
      <w:proofErr w:type="gramEnd"/>
      <w:r w:rsidRPr="00170F10">
        <w:rPr>
          <w:rFonts w:ascii="Arial" w:hAnsi="Arial" w:cs="Arial"/>
          <w:sz w:val="20"/>
          <w:szCs w:val="20"/>
        </w:rPr>
        <w:t>: from banking crisis resolution to current policy challenges. Working paper 94/117, IMF, Washington, DC, October.</w:t>
      </w:r>
    </w:p>
  </w:footnote>
  <w:footnote w:id="5">
    <w:p w:rsidR="00C571CD" w:rsidRPr="00170F10" w:rsidRDefault="00C571CD" w:rsidP="00170F10">
      <w:pPr>
        <w:pStyle w:val="FootnoteText"/>
        <w:jc w:val="both"/>
        <w:rPr>
          <w:rFonts w:ascii="Arial" w:hAnsi="Arial" w:cs="Arial"/>
        </w:rPr>
      </w:pPr>
      <w:r w:rsidRPr="00170F10">
        <w:rPr>
          <w:rStyle w:val="FootnoteReference"/>
          <w:rFonts w:ascii="Arial" w:hAnsi="Arial" w:cs="Arial"/>
        </w:rPr>
        <w:footnoteRef/>
      </w:r>
      <w:r w:rsidRPr="00170F10">
        <w:rPr>
          <w:rFonts w:ascii="Arial" w:hAnsi="Arial" w:cs="Arial"/>
        </w:rPr>
        <w:t xml:space="preserve"> Richard Hemming, Michael Kell and Axel Schimmelpfenning (2003):„Fisc</w:t>
      </w:r>
      <w:r>
        <w:rPr>
          <w:rFonts w:ascii="Arial" w:hAnsi="Arial" w:cs="Arial"/>
        </w:rPr>
        <w:t>al Vulnerability and Financial C</w:t>
      </w:r>
      <w:r w:rsidRPr="00170F10">
        <w:rPr>
          <w:rFonts w:ascii="Arial" w:hAnsi="Arial" w:cs="Arial"/>
        </w:rPr>
        <w:t>rises in Emerging Market Economies“</w:t>
      </w:r>
      <w:proofErr w:type="gramStart"/>
      <w:r w:rsidRPr="00170F10">
        <w:rPr>
          <w:rFonts w:ascii="Arial" w:hAnsi="Arial" w:cs="Arial"/>
        </w:rPr>
        <w:t>,International</w:t>
      </w:r>
      <w:proofErr w:type="gramEnd"/>
      <w:r w:rsidRPr="00170F10">
        <w:rPr>
          <w:rFonts w:ascii="Arial" w:hAnsi="Arial" w:cs="Arial"/>
        </w:rPr>
        <w:t xml:space="preserve"> Monetary Fund, Washington DC.</w:t>
      </w:r>
    </w:p>
  </w:footnote>
  <w:footnote w:id="6">
    <w:p w:rsidR="00C571CD" w:rsidRPr="00170F10" w:rsidRDefault="00C571CD" w:rsidP="00170F10">
      <w:pPr>
        <w:autoSpaceDE w:val="0"/>
        <w:autoSpaceDN w:val="0"/>
        <w:adjustRightInd w:val="0"/>
        <w:spacing w:after="0" w:line="240" w:lineRule="auto"/>
        <w:jc w:val="both"/>
        <w:rPr>
          <w:rFonts w:ascii="Arial" w:hAnsi="Arial" w:cs="Arial"/>
          <w:sz w:val="20"/>
          <w:szCs w:val="20"/>
        </w:rPr>
      </w:pPr>
      <w:r w:rsidRPr="00170F10">
        <w:rPr>
          <w:rStyle w:val="FootnoteReference"/>
          <w:rFonts w:ascii="Arial" w:hAnsi="Arial" w:cs="Arial"/>
          <w:sz w:val="20"/>
          <w:szCs w:val="20"/>
        </w:rPr>
        <w:footnoteRef/>
      </w:r>
      <w:r w:rsidRPr="00170F10">
        <w:rPr>
          <w:rFonts w:ascii="Arial" w:hAnsi="Arial" w:cs="Arial"/>
          <w:sz w:val="20"/>
          <w:szCs w:val="20"/>
        </w:rPr>
        <w:t xml:space="preserve"> Mishkin, F.S., 1996. </w:t>
      </w:r>
      <w:proofErr w:type="gramStart"/>
      <w:r w:rsidRPr="00170F10">
        <w:rPr>
          <w:rFonts w:ascii="Arial" w:hAnsi="Arial" w:cs="Arial"/>
          <w:sz w:val="20"/>
          <w:szCs w:val="20"/>
        </w:rPr>
        <w:t>Understanding Financial Crises: A Developing Country Perspective.</w:t>
      </w:r>
      <w:proofErr w:type="gramEnd"/>
      <w:r w:rsidRPr="00170F10">
        <w:rPr>
          <w:rFonts w:ascii="Arial" w:hAnsi="Arial" w:cs="Arial"/>
          <w:sz w:val="20"/>
          <w:szCs w:val="20"/>
        </w:rPr>
        <w:t xml:space="preserve"> </w:t>
      </w:r>
      <w:proofErr w:type="gramStart"/>
      <w:r w:rsidRPr="00170F10">
        <w:rPr>
          <w:rFonts w:ascii="Arial" w:hAnsi="Arial" w:cs="Arial"/>
          <w:sz w:val="20"/>
          <w:szCs w:val="20"/>
        </w:rPr>
        <w:t>Annual World Bank Conference on Development Economics.</w:t>
      </w:r>
      <w:proofErr w:type="gramEnd"/>
      <w:r w:rsidRPr="00170F10">
        <w:rPr>
          <w:rFonts w:ascii="Arial" w:hAnsi="Arial" w:cs="Arial"/>
          <w:sz w:val="20"/>
          <w:szCs w:val="20"/>
        </w:rPr>
        <w:t xml:space="preserve"> </w:t>
      </w:r>
      <w:proofErr w:type="gramStart"/>
      <w:r w:rsidRPr="00170F10">
        <w:rPr>
          <w:rFonts w:ascii="Arial" w:hAnsi="Arial" w:cs="Arial"/>
          <w:sz w:val="20"/>
          <w:szCs w:val="20"/>
        </w:rPr>
        <w:t>World Bank, Washington, DC, pp. 29± 62.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BEB"/>
    <w:multiLevelType w:val="hybridMultilevel"/>
    <w:tmpl w:val="92E0301A"/>
    <w:lvl w:ilvl="0" w:tplc="042F0009">
      <w:start w:val="1"/>
      <w:numFmt w:val="bullet"/>
      <w:lvlText w:val=""/>
      <w:lvlJc w:val="left"/>
      <w:pPr>
        <w:ind w:left="2400" w:hanging="360"/>
      </w:pPr>
      <w:rPr>
        <w:rFonts w:ascii="Wingdings" w:hAnsi="Wingdings" w:hint="default"/>
      </w:rPr>
    </w:lvl>
    <w:lvl w:ilvl="1" w:tplc="042F0003" w:tentative="1">
      <w:start w:val="1"/>
      <w:numFmt w:val="bullet"/>
      <w:lvlText w:val="o"/>
      <w:lvlJc w:val="left"/>
      <w:pPr>
        <w:ind w:left="3120" w:hanging="360"/>
      </w:pPr>
      <w:rPr>
        <w:rFonts w:ascii="Courier New" w:hAnsi="Courier New" w:cs="Courier New" w:hint="default"/>
      </w:rPr>
    </w:lvl>
    <w:lvl w:ilvl="2" w:tplc="042F0005" w:tentative="1">
      <w:start w:val="1"/>
      <w:numFmt w:val="bullet"/>
      <w:lvlText w:val=""/>
      <w:lvlJc w:val="left"/>
      <w:pPr>
        <w:ind w:left="3840" w:hanging="360"/>
      </w:pPr>
      <w:rPr>
        <w:rFonts w:ascii="Wingdings" w:hAnsi="Wingdings" w:hint="default"/>
      </w:rPr>
    </w:lvl>
    <w:lvl w:ilvl="3" w:tplc="042F0001" w:tentative="1">
      <w:start w:val="1"/>
      <w:numFmt w:val="bullet"/>
      <w:lvlText w:val=""/>
      <w:lvlJc w:val="left"/>
      <w:pPr>
        <w:ind w:left="4560" w:hanging="360"/>
      </w:pPr>
      <w:rPr>
        <w:rFonts w:ascii="Symbol" w:hAnsi="Symbol" w:hint="default"/>
      </w:rPr>
    </w:lvl>
    <w:lvl w:ilvl="4" w:tplc="042F0003" w:tentative="1">
      <w:start w:val="1"/>
      <w:numFmt w:val="bullet"/>
      <w:lvlText w:val="o"/>
      <w:lvlJc w:val="left"/>
      <w:pPr>
        <w:ind w:left="5280" w:hanging="360"/>
      </w:pPr>
      <w:rPr>
        <w:rFonts w:ascii="Courier New" w:hAnsi="Courier New" w:cs="Courier New" w:hint="default"/>
      </w:rPr>
    </w:lvl>
    <w:lvl w:ilvl="5" w:tplc="042F0005" w:tentative="1">
      <w:start w:val="1"/>
      <w:numFmt w:val="bullet"/>
      <w:lvlText w:val=""/>
      <w:lvlJc w:val="left"/>
      <w:pPr>
        <w:ind w:left="6000" w:hanging="360"/>
      </w:pPr>
      <w:rPr>
        <w:rFonts w:ascii="Wingdings" w:hAnsi="Wingdings" w:hint="default"/>
      </w:rPr>
    </w:lvl>
    <w:lvl w:ilvl="6" w:tplc="042F0001" w:tentative="1">
      <w:start w:val="1"/>
      <w:numFmt w:val="bullet"/>
      <w:lvlText w:val=""/>
      <w:lvlJc w:val="left"/>
      <w:pPr>
        <w:ind w:left="6720" w:hanging="360"/>
      </w:pPr>
      <w:rPr>
        <w:rFonts w:ascii="Symbol" w:hAnsi="Symbol" w:hint="default"/>
      </w:rPr>
    </w:lvl>
    <w:lvl w:ilvl="7" w:tplc="042F0003" w:tentative="1">
      <w:start w:val="1"/>
      <w:numFmt w:val="bullet"/>
      <w:lvlText w:val="o"/>
      <w:lvlJc w:val="left"/>
      <w:pPr>
        <w:ind w:left="7440" w:hanging="360"/>
      </w:pPr>
      <w:rPr>
        <w:rFonts w:ascii="Courier New" w:hAnsi="Courier New" w:cs="Courier New" w:hint="default"/>
      </w:rPr>
    </w:lvl>
    <w:lvl w:ilvl="8" w:tplc="042F0005" w:tentative="1">
      <w:start w:val="1"/>
      <w:numFmt w:val="bullet"/>
      <w:lvlText w:val=""/>
      <w:lvlJc w:val="left"/>
      <w:pPr>
        <w:ind w:left="8160" w:hanging="360"/>
      </w:pPr>
      <w:rPr>
        <w:rFonts w:ascii="Wingdings" w:hAnsi="Wingdings" w:hint="default"/>
      </w:rPr>
    </w:lvl>
  </w:abstractNum>
  <w:abstractNum w:abstractNumId="1">
    <w:nsid w:val="269C5F94"/>
    <w:multiLevelType w:val="hybridMultilevel"/>
    <w:tmpl w:val="ECDAFD0E"/>
    <w:lvl w:ilvl="0" w:tplc="042F000B">
      <w:start w:val="1"/>
      <w:numFmt w:val="bullet"/>
      <w:lvlText w:val=""/>
      <w:lvlJc w:val="left"/>
      <w:pPr>
        <w:ind w:left="960" w:hanging="360"/>
      </w:pPr>
      <w:rPr>
        <w:rFonts w:ascii="Wingdings" w:hAnsi="Wingdings" w:hint="default"/>
      </w:rPr>
    </w:lvl>
    <w:lvl w:ilvl="1" w:tplc="042F0003" w:tentative="1">
      <w:start w:val="1"/>
      <w:numFmt w:val="bullet"/>
      <w:lvlText w:val="o"/>
      <w:lvlJc w:val="left"/>
      <w:pPr>
        <w:ind w:left="1680" w:hanging="360"/>
      </w:pPr>
      <w:rPr>
        <w:rFonts w:ascii="Courier New" w:hAnsi="Courier New" w:cs="Courier New" w:hint="default"/>
      </w:rPr>
    </w:lvl>
    <w:lvl w:ilvl="2" w:tplc="042F0005" w:tentative="1">
      <w:start w:val="1"/>
      <w:numFmt w:val="bullet"/>
      <w:lvlText w:val=""/>
      <w:lvlJc w:val="left"/>
      <w:pPr>
        <w:ind w:left="2400" w:hanging="360"/>
      </w:pPr>
      <w:rPr>
        <w:rFonts w:ascii="Wingdings" w:hAnsi="Wingdings" w:hint="default"/>
      </w:rPr>
    </w:lvl>
    <w:lvl w:ilvl="3" w:tplc="042F0001" w:tentative="1">
      <w:start w:val="1"/>
      <w:numFmt w:val="bullet"/>
      <w:lvlText w:val=""/>
      <w:lvlJc w:val="left"/>
      <w:pPr>
        <w:ind w:left="3120" w:hanging="360"/>
      </w:pPr>
      <w:rPr>
        <w:rFonts w:ascii="Symbol" w:hAnsi="Symbol" w:hint="default"/>
      </w:rPr>
    </w:lvl>
    <w:lvl w:ilvl="4" w:tplc="042F0003" w:tentative="1">
      <w:start w:val="1"/>
      <w:numFmt w:val="bullet"/>
      <w:lvlText w:val="o"/>
      <w:lvlJc w:val="left"/>
      <w:pPr>
        <w:ind w:left="3840" w:hanging="360"/>
      </w:pPr>
      <w:rPr>
        <w:rFonts w:ascii="Courier New" w:hAnsi="Courier New" w:cs="Courier New" w:hint="default"/>
      </w:rPr>
    </w:lvl>
    <w:lvl w:ilvl="5" w:tplc="042F0005" w:tentative="1">
      <w:start w:val="1"/>
      <w:numFmt w:val="bullet"/>
      <w:lvlText w:val=""/>
      <w:lvlJc w:val="left"/>
      <w:pPr>
        <w:ind w:left="4560" w:hanging="360"/>
      </w:pPr>
      <w:rPr>
        <w:rFonts w:ascii="Wingdings" w:hAnsi="Wingdings" w:hint="default"/>
      </w:rPr>
    </w:lvl>
    <w:lvl w:ilvl="6" w:tplc="042F0001" w:tentative="1">
      <w:start w:val="1"/>
      <w:numFmt w:val="bullet"/>
      <w:lvlText w:val=""/>
      <w:lvlJc w:val="left"/>
      <w:pPr>
        <w:ind w:left="5280" w:hanging="360"/>
      </w:pPr>
      <w:rPr>
        <w:rFonts w:ascii="Symbol" w:hAnsi="Symbol" w:hint="default"/>
      </w:rPr>
    </w:lvl>
    <w:lvl w:ilvl="7" w:tplc="042F0003" w:tentative="1">
      <w:start w:val="1"/>
      <w:numFmt w:val="bullet"/>
      <w:lvlText w:val="o"/>
      <w:lvlJc w:val="left"/>
      <w:pPr>
        <w:ind w:left="6000" w:hanging="360"/>
      </w:pPr>
      <w:rPr>
        <w:rFonts w:ascii="Courier New" w:hAnsi="Courier New" w:cs="Courier New" w:hint="default"/>
      </w:rPr>
    </w:lvl>
    <w:lvl w:ilvl="8" w:tplc="042F0005" w:tentative="1">
      <w:start w:val="1"/>
      <w:numFmt w:val="bullet"/>
      <w:lvlText w:val=""/>
      <w:lvlJc w:val="left"/>
      <w:pPr>
        <w:ind w:left="6720" w:hanging="360"/>
      </w:pPr>
      <w:rPr>
        <w:rFonts w:ascii="Wingdings" w:hAnsi="Wingdings" w:hint="default"/>
      </w:rPr>
    </w:lvl>
  </w:abstractNum>
  <w:abstractNum w:abstractNumId="2">
    <w:nsid w:val="37742412"/>
    <w:multiLevelType w:val="hybridMultilevel"/>
    <w:tmpl w:val="3256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85913"/>
    <w:multiLevelType w:val="hybridMultilevel"/>
    <w:tmpl w:val="EA4E727E"/>
    <w:lvl w:ilvl="0" w:tplc="BC2C8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0912"/>
    <w:rsid w:val="00000858"/>
    <w:rsid w:val="000013D0"/>
    <w:rsid w:val="00002188"/>
    <w:rsid w:val="00003BA8"/>
    <w:rsid w:val="00003F38"/>
    <w:rsid w:val="00004DEC"/>
    <w:rsid w:val="00006AAE"/>
    <w:rsid w:val="00007312"/>
    <w:rsid w:val="00007E5B"/>
    <w:rsid w:val="0001041C"/>
    <w:rsid w:val="00010C16"/>
    <w:rsid w:val="000115A5"/>
    <w:rsid w:val="00011646"/>
    <w:rsid w:val="00011FF1"/>
    <w:rsid w:val="00012435"/>
    <w:rsid w:val="00013F96"/>
    <w:rsid w:val="00014663"/>
    <w:rsid w:val="00014735"/>
    <w:rsid w:val="00014CE5"/>
    <w:rsid w:val="00014F0B"/>
    <w:rsid w:val="00016C6E"/>
    <w:rsid w:val="00017D27"/>
    <w:rsid w:val="00021B26"/>
    <w:rsid w:val="00021C50"/>
    <w:rsid w:val="000224D7"/>
    <w:rsid w:val="00022F8E"/>
    <w:rsid w:val="00023911"/>
    <w:rsid w:val="00023DD2"/>
    <w:rsid w:val="00024D8E"/>
    <w:rsid w:val="00025859"/>
    <w:rsid w:val="00026152"/>
    <w:rsid w:val="000263B2"/>
    <w:rsid w:val="00026C04"/>
    <w:rsid w:val="00027340"/>
    <w:rsid w:val="000274A0"/>
    <w:rsid w:val="000277D4"/>
    <w:rsid w:val="00030BC1"/>
    <w:rsid w:val="00031DA4"/>
    <w:rsid w:val="00031F76"/>
    <w:rsid w:val="00031F94"/>
    <w:rsid w:val="00032F08"/>
    <w:rsid w:val="00034682"/>
    <w:rsid w:val="0003557B"/>
    <w:rsid w:val="00035607"/>
    <w:rsid w:val="00035E27"/>
    <w:rsid w:val="00035FB6"/>
    <w:rsid w:val="00036A5E"/>
    <w:rsid w:val="00036EC4"/>
    <w:rsid w:val="0004047F"/>
    <w:rsid w:val="00040997"/>
    <w:rsid w:val="00040D06"/>
    <w:rsid w:val="00041281"/>
    <w:rsid w:val="00041628"/>
    <w:rsid w:val="00041F76"/>
    <w:rsid w:val="00042B5C"/>
    <w:rsid w:val="000433DE"/>
    <w:rsid w:val="00043C56"/>
    <w:rsid w:val="00044A32"/>
    <w:rsid w:val="00045A5A"/>
    <w:rsid w:val="00046293"/>
    <w:rsid w:val="000463C2"/>
    <w:rsid w:val="00046A18"/>
    <w:rsid w:val="00046CEB"/>
    <w:rsid w:val="00047092"/>
    <w:rsid w:val="000471FB"/>
    <w:rsid w:val="000475B9"/>
    <w:rsid w:val="000476F9"/>
    <w:rsid w:val="000478EF"/>
    <w:rsid w:val="000479AB"/>
    <w:rsid w:val="00047A2F"/>
    <w:rsid w:val="000500E5"/>
    <w:rsid w:val="000507CC"/>
    <w:rsid w:val="0005133F"/>
    <w:rsid w:val="000515D0"/>
    <w:rsid w:val="00052F67"/>
    <w:rsid w:val="000553B3"/>
    <w:rsid w:val="00057A0F"/>
    <w:rsid w:val="00057B5A"/>
    <w:rsid w:val="00061438"/>
    <w:rsid w:val="00062056"/>
    <w:rsid w:val="00062CCD"/>
    <w:rsid w:val="00062DC4"/>
    <w:rsid w:val="00064042"/>
    <w:rsid w:val="0006483D"/>
    <w:rsid w:val="00065486"/>
    <w:rsid w:val="00065E2E"/>
    <w:rsid w:val="000665EB"/>
    <w:rsid w:val="000701AF"/>
    <w:rsid w:val="00070770"/>
    <w:rsid w:val="00071F9F"/>
    <w:rsid w:val="00072CE8"/>
    <w:rsid w:val="00072E6C"/>
    <w:rsid w:val="00074011"/>
    <w:rsid w:val="000741B7"/>
    <w:rsid w:val="000744A3"/>
    <w:rsid w:val="000748A2"/>
    <w:rsid w:val="00076521"/>
    <w:rsid w:val="00077B12"/>
    <w:rsid w:val="00080024"/>
    <w:rsid w:val="00080769"/>
    <w:rsid w:val="000810FA"/>
    <w:rsid w:val="000820EE"/>
    <w:rsid w:val="00082971"/>
    <w:rsid w:val="000846E4"/>
    <w:rsid w:val="00085616"/>
    <w:rsid w:val="00086BCB"/>
    <w:rsid w:val="00087986"/>
    <w:rsid w:val="000904FE"/>
    <w:rsid w:val="000907F9"/>
    <w:rsid w:val="00090D18"/>
    <w:rsid w:val="0009159E"/>
    <w:rsid w:val="000926DB"/>
    <w:rsid w:val="000933D7"/>
    <w:rsid w:val="00093B18"/>
    <w:rsid w:val="0009583B"/>
    <w:rsid w:val="00097AC8"/>
    <w:rsid w:val="000A0594"/>
    <w:rsid w:val="000A1280"/>
    <w:rsid w:val="000A2040"/>
    <w:rsid w:val="000A2631"/>
    <w:rsid w:val="000A291A"/>
    <w:rsid w:val="000A347A"/>
    <w:rsid w:val="000A3EDA"/>
    <w:rsid w:val="000A66CA"/>
    <w:rsid w:val="000A677F"/>
    <w:rsid w:val="000A78E5"/>
    <w:rsid w:val="000B0F73"/>
    <w:rsid w:val="000B1AB0"/>
    <w:rsid w:val="000B1B5D"/>
    <w:rsid w:val="000B4AE4"/>
    <w:rsid w:val="000B6CF0"/>
    <w:rsid w:val="000B762B"/>
    <w:rsid w:val="000C06A6"/>
    <w:rsid w:val="000C15C4"/>
    <w:rsid w:val="000C2E95"/>
    <w:rsid w:val="000C3033"/>
    <w:rsid w:val="000C5D23"/>
    <w:rsid w:val="000C6359"/>
    <w:rsid w:val="000C6F2D"/>
    <w:rsid w:val="000C77F9"/>
    <w:rsid w:val="000D17E2"/>
    <w:rsid w:val="000D4502"/>
    <w:rsid w:val="000D58BD"/>
    <w:rsid w:val="000D7205"/>
    <w:rsid w:val="000E05E0"/>
    <w:rsid w:val="000E07C6"/>
    <w:rsid w:val="000E2684"/>
    <w:rsid w:val="000E4D2D"/>
    <w:rsid w:val="000E60A8"/>
    <w:rsid w:val="000E61D9"/>
    <w:rsid w:val="000E64D0"/>
    <w:rsid w:val="000E691E"/>
    <w:rsid w:val="000F23EE"/>
    <w:rsid w:val="000F2D0F"/>
    <w:rsid w:val="000F3D7B"/>
    <w:rsid w:val="000F46EB"/>
    <w:rsid w:val="000F4A99"/>
    <w:rsid w:val="000F4E2F"/>
    <w:rsid w:val="000F564A"/>
    <w:rsid w:val="000F5809"/>
    <w:rsid w:val="000F5F25"/>
    <w:rsid w:val="000F72CA"/>
    <w:rsid w:val="000F7447"/>
    <w:rsid w:val="000F7513"/>
    <w:rsid w:val="000F79D7"/>
    <w:rsid w:val="00100832"/>
    <w:rsid w:val="00100D75"/>
    <w:rsid w:val="001062E4"/>
    <w:rsid w:val="0010698B"/>
    <w:rsid w:val="00106A43"/>
    <w:rsid w:val="00107445"/>
    <w:rsid w:val="001075B3"/>
    <w:rsid w:val="001119EB"/>
    <w:rsid w:val="0011485C"/>
    <w:rsid w:val="0011510D"/>
    <w:rsid w:val="00115346"/>
    <w:rsid w:val="0011540F"/>
    <w:rsid w:val="00115454"/>
    <w:rsid w:val="001158B4"/>
    <w:rsid w:val="001167AD"/>
    <w:rsid w:val="00120128"/>
    <w:rsid w:val="00121214"/>
    <w:rsid w:val="0012263E"/>
    <w:rsid w:val="00122C35"/>
    <w:rsid w:val="00122C46"/>
    <w:rsid w:val="0012388C"/>
    <w:rsid w:val="00124740"/>
    <w:rsid w:val="00125E2A"/>
    <w:rsid w:val="00125E39"/>
    <w:rsid w:val="001264B0"/>
    <w:rsid w:val="00127B8B"/>
    <w:rsid w:val="00130BC3"/>
    <w:rsid w:val="00130C5A"/>
    <w:rsid w:val="00132121"/>
    <w:rsid w:val="001374EE"/>
    <w:rsid w:val="00140424"/>
    <w:rsid w:val="00140967"/>
    <w:rsid w:val="00141169"/>
    <w:rsid w:val="0014117C"/>
    <w:rsid w:val="00141777"/>
    <w:rsid w:val="0014188D"/>
    <w:rsid w:val="00142B18"/>
    <w:rsid w:val="0014344B"/>
    <w:rsid w:val="00144153"/>
    <w:rsid w:val="00144506"/>
    <w:rsid w:val="00144773"/>
    <w:rsid w:val="00144A66"/>
    <w:rsid w:val="00145AF2"/>
    <w:rsid w:val="001461DB"/>
    <w:rsid w:val="00146E6C"/>
    <w:rsid w:val="00150876"/>
    <w:rsid w:val="00151170"/>
    <w:rsid w:val="001518C9"/>
    <w:rsid w:val="0015244F"/>
    <w:rsid w:val="00153413"/>
    <w:rsid w:val="00153F2C"/>
    <w:rsid w:val="00154020"/>
    <w:rsid w:val="0015402C"/>
    <w:rsid w:val="00155C48"/>
    <w:rsid w:val="00156AA9"/>
    <w:rsid w:val="00156AFD"/>
    <w:rsid w:val="00157B8F"/>
    <w:rsid w:val="001601A4"/>
    <w:rsid w:val="001605F2"/>
    <w:rsid w:val="00161CEF"/>
    <w:rsid w:val="0016341F"/>
    <w:rsid w:val="00163595"/>
    <w:rsid w:val="00163815"/>
    <w:rsid w:val="00163D70"/>
    <w:rsid w:val="00164320"/>
    <w:rsid w:val="00164CBE"/>
    <w:rsid w:val="00166137"/>
    <w:rsid w:val="0016777B"/>
    <w:rsid w:val="00167FCC"/>
    <w:rsid w:val="00170F10"/>
    <w:rsid w:val="00172024"/>
    <w:rsid w:val="0017247C"/>
    <w:rsid w:val="00175DC4"/>
    <w:rsid w:val="00175E07"/>
    <w:rsid w:val="001768B1"/>
    <w:rsid w:val="00176E9F"/>
    <w:rsid w:val="00177286"/>
    <w:rsid w:val="00177B07"/>
    <w:rsid w:val="00180723"/>
    <w:rsid w:val="00181200"/>
    <w:rsid w:val="0018294C"/>
    <w:rsid w:val="00184CDD"/>
    <w:rsid w:val="001860ED"/>
    <w:rsid w:val="001861CB"/>
    <w:rsid w:val="00186F18"/>
    <w:rsid w:val="00187940"/>
    <w:rsid w:val="0019049A"/>
    <w:rsid w:val="00190897"/>
    <w:rsid w:val="00190912"/>
    <w:rsid w:val="00190F01"/>
    <w:rsid w:val="0019176F"/>
    <w:rsid w:val="001922BE"/>
    <w:rsid w:val="00193773"/>
    <w:rsid w:val="00194001"/>
    <w:rsid w:val="00194403"/>
    <w:rsid w:val="001951AB"/>
    <w:rsid w:val="001957EA"/>
    <w:rsid w:val="00196898"/>
    <w:rsid w:val="00196FD9"/>
    <w:rsid w:val="001A0868"/>
    <w:rsid w:val="001A1264"/>
    <w:rsid w:val="001A194E"/>
    <w:rsid w:val="001A3465"/>
    <w:rsid w:val="001A37BC"/>
    <w:rsid w:val="001A43CF"/>
    <w:rsid w:val="001A5907"/>
    <w:rsid w:val="001A69A3"/>
    <w:rsid w:val="001A6D8A"/>
    <w:rsid w:val="001A7ADD"/>
    <w:rsid w:val="001B0B4E"/>
    <w:rsid w:val="001B0F8A"/>
    <w:rsid w:val="001B1FF9"/>
    <w:rsid w:val="001B2BC8"/>
    <w:rsid w:val="001B3752"/>
    <w:rsid w:val="001B3DCF"/>
    <w:rsid w:val="001B417E"/>
    <w:rsid w:val="001B466A"/>
    <w:rsid w:val="001B479A"/>
    <w:rsid w:val="001B4D5E"/>
    <w:rsid w:val="001B58A4"/>
    <w:rsid w:val="001B7283"/>
    <w:rsid w:val="001B73AE"/>
    <w:rsid w:val="001C04C9"/>
    <w:rsid w:val="001C0535"/>
    <w:rsid w:val="001C0A9B"/>
    <w:rsid w:val="001C1D3E"/>
    <w:rsid w:val="001C2145"/>
    <w:rsid w:val="001C2CB5"/>
    <w:rsid w:val="001C3800"/>
    <w:rsid w:val="001C43A5"/>
    <w:rsid w:val="001C6C62"/>
    <w:rsid w:val="001C7B5F"/>
    <w:rsid w:val="001D12DC"/>
    <w:rsid w:val="001D15E6"/>
    <w:rsid w:val="001D1F3A"/>
    <w:rsid w:val="001D4615"/>
    <w:rsid w:val="001D52E3"/>
    <w:rsid w:val="001D5F0B"/>
    <w:rsid w:val="001D5FFA"/>
    <w:rsid w:val="001D6D80"/>
    <w:rsid w:val="001D7EE7"/>
    <w:rsid w:val="001E0FF6"/>
    <w:rsid w:val="001E15C8"/>
    <w:rsid w:val="001E1737"/>
    <w:rsid w:val="001E3986"/>
    <w:rsid w:val="001E5CE7"/>
    <w:rsid w:val="001E626E"/>
    <w:rsid w:val="001E696C"/>
    <w:rsid w:val="001F0D1D"/>
    <w:rsid w:val="001F14B0"/>
    <w:rsid w:val="001F1F09"/>
    <w:rsid w:val="001F3595"/>
    <w:rsid w:val="001F364C"/>
    <w:rsid w:val="001F44C3"/>
    <w:rsid w:val="001F4856"/>
    <w:rsid w:val="001F6370"/>
    <w:rsid w:val="001F63B7"/>
    <w:rsid w:val="001F6443"/>
    <w:rsid w:val="001F7908"/>
    <w:rsid w:val="001F791E"/>
    <w:rsid w:val="002003E9"/>
    <w:rsid w:val="0020137F"/>
    <w:rsid w:val="0020237A"/>
    <w:rsid w:val="0020276D"/>
    <w:rsid w:val="0020281C"/>
    <w:rsid w:val="00202E52"/>
    <w:rsid w:val="00203DB6"/>
    <w:rsid w:val="00206176"/>
    <w:rsid w:val="002062E9"/>
    <w:rsid w:val="002070EA"/>
    <w:rsid w:val="00210BC2"/>
    <w:rsid w:val="00210C3A"/>
    <w:rsid w:val="00211ABD"/>
    <w:rsid w:val="00212042"/>
    <w:rsid w:val="00213F9B"/>
    <w:rsid w:val="00214790"/>
    <w:rsid w:val="0021566A"/>
    <w:rsid w:val="002158A2"/>
    <w:rsid w:val="00215A88"/>
    <w:rsid w:val="00216428"/>
    <w:rsid w:val="00217157"/>
    <w:rsid w:val="00220068"/>
    <w:rsid w:val="00220125"/>
    <w:rsid w:val="00220D4D"/>
    <w:rsid w:val="00221393"/>
    <w:rsid w:val="002214E5"/>
    <w:rsid w:val="002214EE"/>
    <w:rsid w:val="00221D06"/>
    <w:rsid w:val="0022283A"/>
    <w:rsid w:val="00222A7C"/>
    <w:rsid w:val="00222CBC"/>
    <w:rsid w:val="0022379C"/>
    <w:rsid w:val="00226425"/>
    <w:rsid w:val="00226CE5"/>
    <w:rsid w:val="00227A5C"/>
    <w:rsid w:val="00227C48"/>
    <w:rsid w:val="00227DA3"/>
    <w:rsid w:val="00230139"/>
    <w:rsid w:val="0023364A"/>
    <w:rsid w:val="00233F03"/>
    <w:rsid w:val="002347A0"/>
    <w:rsid w:val="00235817"/>
    <w:rsid w:val="00236B85"/>
    <w:rsid w:val="00237744"/>
    <w:rsid w:val="00241946"/>
    <w:rsid w:val="0024196C"/>
    <w:rsid w:val="00241F5B"/>
    <w:rsid w:val="0024489D"/>
    <w:rsid w:val="00244FD1"/>
    <w:rsid w:val="0024571A"/>
    <w:rsid w:val="00246274"/>
    <w:rsid w:val="00247103"/>
    <w:rsid w:val="00250259"/>
    <w:rsid w:val="00250AC6"/>
    <w:rsid w:val="00252674"/>
    <w:rsid w:val="002534DA"/>
    <w:rsid w:val="002544B1"/>
    <w:rsid w:val="00255475"/>
    <w:rsid w:val="00256567"/>
    <w:rsid w:val="0025692E"/>
    <w:rsid w:val="002572FC"/>
    <w:rsid w:val="002600B2"/>
    <w:rsid w:val="002617E6"/>
    <w:rsid w:val="00261CF5"/>
    <w:rsid w:val="00262815"/>
    <w:rsid w:val="002653E9"/>
    <w:rsid w:val="00265904"/>
    <w:rsid w:val="00265EB1"/>
    <w:rsid w:val="00265F6E"/>
    <w:rsid w:val="002664FD"/>
    <w:rsid w:val="00267EB9"/>
    <w:rsid w:val="002704D7"/>
    <w:rsid w:val="00271EA6"/>
    <w:rsid w:val="00272F42"/>
    <w:rsid w:val="00273383"/>
    <w:rsid w:val="00273A0D"/>
    <w:rsid w:val="00273ADE"/>
    <w:rsid w:val="00273B38"/>
    <w:rsid w:val="00274E97"/>
    <w:rsid w:val="0027580F"/>
    <w:rsid w:val="0027631D"/>
    <w:rsid w:val="00276491"/>
    <w:rsid w:val="0027682E"/>
    <w:rsid w:val="00276BE3"/>
    <w:rsid w:val="00277557"/>
    <w:rsid w:val="00280FDB"/>
    <w:rsid w:val="00282A2D"/>
    <w:rsid w:val="00283CD6"/>
    <w:rsid w:val="00285646"/>
    <w:rsid w:val="002909D1"/>
    <w:rsid w:val="00291AEE"/>
    <w:rsid w:val="00291F78"/>
    <w:rsid w:val="002921C5"/>
    <w:rsid w:val="00292432"/>
    <w:rsid w:val="002931C7"/>
    <w:rsid w:val="00294810"/>
    <w:rsid w:val="00295FB8"/>
    <w:rsid w:val="00297219"/>
    <w:rsid w:val="00297279"/>
    <w:rsid w:val="002A0047"/>
    <w:rsid w:val="002A019F"/>
    <w:rsid w:val="002A08B9"/>
    <w:rsid w:val="002A0B37"/>
    <w:rsid w:val="002A1D8A"/>
    <w:rsid w:val="002A1E97"/>
    <w:rsid w:val="002A2359"/>
    <w:rsid w:val="002A2E73"/>
    <w:rsid w:val="002A3765"/>
    <w:rsid w:val="002A3EDE"/>
    <w:rsid w:val="002A4E75"/>
    <w:rsid w:val="002A4EF4"/>
    <w:rsid w:val="002A5762"/>
    <w:rsid w:val="002A618B"/>
    <w:rsid w:val="002A6195"/>
    <w:rsid w:val="002A651C"/>
    <w:rsid w:val="002A7D8C"/>
    <w:rsid w:val="002B0694"/>
    <w:rsid w:val="002B0A2C"/>
    <w:rsid w:val="002B11A0"/>
    <w:rsid w:val="002B1F1B"/>
    <w:rsid w:val="002B21E7"/>
    <w:rsid w:val="002B276C"/>
    <w:rsid w:val="002B2E57"/>
    <w:rsid w:val="002B42A8"/>
    <w:rsid w:val="002B5841"/>
    <w:rsid w:val="002B59AB"/>
    <w:rsid w:val="002B7CF4"/>
    <w:rsid w:val="002C0A32"/>
    <w:rsid w:val="002C1385"/>
    <w:rsid w:val="002C2D9C"/>
    <w:rsid w:val="002C46D9"/>
    <w:rsid w:val="002D44ED"/>
    <w:rsid w:val="002D48C7"/>
    <w:rsid w:val="002D49B5"/>
    <w:rsid w:val="002D4A14"/>
    <w:rsid w:val="002D52B6"/>
    <w:rsid w:val="002D5FAE"/>
    <w:rsid w:val="002D6569"/>
    <w:rsid w:val="002D6EC0"/>
    <w:rsid w:val="002D77EE"/>
    <w:rsid w:val="002E06ED"/>
    <w:rsid w:val="002E1E62"/>
    <w:rsid w:val="002E2581"/>
    <w:rsid w:val="002E35C3"/>
    <w:rsid w:val="002E4D66"/>
    <w:rsid w:val="002E70D9"/>
    <w:rsid w:val="002F018D"/>
    <w:rsid w:val="002F03F2"/>
    <w:rsid w:val="002F0481"/>
    <w:rsid w:val="002F04C2"/>
    <w:rsid w:val="002F0887"/>
    <w:rsid w:val="002F26A0"/>
    <w:rsid w:val="002F3CF4"/>
    <w:rsid w:val="002F4302"/>
    <w:rsid w:val="002F484A"/>
    <w:rsid w:val="002F489A"/>
    <w:rsid w:val="002F51F6"/>
    <w:rsid w:val="002F57E6"/>
    <w:rsid w:val="002F5A1B"/>
    <w:rsid w:val="002F650E"/>
    <w:rsid w:val="002F7439"/>
    <w:rsid w:val="002F74E4"/>
    <w:rsid w:val="00300FC9"/>
    <w:rsid w:val="00302C46"/>
    <w:rsid w:val="003032A2"/>
    <w:rsid w:val="003035AC"/>
    <w:rsid w:val="00303663"/>
    <w:rsid w:val="00303720"/>
    <w:rsid w:val="003058A4"/>
    <w:rsid w:val="00305C84"/>
    <w:rsid w:val="00306373"/>
    <w:rsid w:val="00306AEB"/>
    <w:rsid w:val="0030757C"/>
    <w:rsid w:val="00310140"/>
    <w:rsid w:val="00310437"/>
    <w:rsid w:val="003104A9"/>
    <w:rsid w:val="00310A41"/>
    <w:rsid w:val="0031110E"/>
    <w:rsid w:val="00312B85"/>
    <w:rsid w:val="00312C26"/>
    <w:rsid w:val="00314121"/>
    <w:rsid w:val="00314D41"/>
    <w:rsid w:val="003175FC"/>
    <w:rsid w:val="00321402"/>
    <w:rsid w:val="00322367"/>
    <w:rsid w:val="003229FE"/>
    <w:rsid w:val="00323B28"/>
    <w:rsid w:val="0032455F"/>
    <w:rsid w:val="0032797A"/>
    <w:rsid w:val="00332A0A"/>
    <w:rsid w:val="003338C2"/>
    <w:rsid w:val="00333935"/>
    <w:rsid w:val="00334B12"/>
    <w:rsid w:val="003363A3"/>
    <w:rsid w:val="003374C4"/>
    <w:rsid w:val="00337D9E"/>
    <w:rsid w:val="00337F37"/>
    <w:rsid w:val="0034103E"/>
    <w:rsid w:val="00343777"/>
    <w:rsid w:val="00343BD4"/>
    <w:rsid w:val="00343EA4"/>
    <w:rsid w:val="003450DF"/>
    <w:rsid w:val="00345130"/>
    <w:rsid w:val="003456F3"/>
    <w:rsid w:val="00345B10"/>
    <w:rsid w:val="00346799"/>
    <w:rsid w:val="00346F7E"/>
    <w:rsid w:val="00351811"/>
    <w:rsid w:val="00352B66"/>
    <w:rsid w:val="00352FBA"/>
    <w:rsid w:val="0035345D"/>
    <w:rsid w:val="00354276"/>
    <w:rsid w:val="00355610"/>
    <w:rsid w:val="00355644"/>
    <w:rsid w:val="00356C56"/>
    <w:rsid w:val="0035761A"/>
    <w:rsid w:val="00357644"/>
    <w:rsid w:val="00361896"/>
    <w:rsid w:val="00361EA2"/>
    <w:rsid w:val="0036235B"/>
    <w:rsid w:val="00362A6D"/>
    <w:rsid w:val="00364F5C"/>
    <w:rsid w:val="00365E1B"/>
    <w:rsid w:val="00365F76"/>
    <w:rsid w:val="003667F9"/>
    <w:rsid w:val="0037234B"/>
    <w:rsid w:val="003745D6"/>
    <w:rsid w:val="00374978"/>
    <w:rsid w:val="00374A88"/>
    <w:rsid w:val="0037562F"/>
    <w:rsid w:val="00375A73"/>
    <w:rsid w:val="0037640C"/>
    <w:rsid w:val="00377407"/>
    <w:rsid w:val="003776B8"/>
    <w:rsid w:val="00377B9C"/>
    <w:rsid w:val="00377F08"/>
    <w:rsid w:val="00381610"/>
    <w:rsid w:val="00381D43"/>
    <w:rsid w:val="003843CF"/>
    <w:rsid w:val="00385CE0"/>
    <w:rsid w:val="00385CEB"/>
    <w:rsid w:val="0038694C"/>
    <w:rsid w:val="00392E66"/>
    <w:rsid w:val="003930A6"/>
    <w:rsid w:val="00394316"/>
    <w:rsid w:val="00394A45"/>
    <w:rsid w:val="0039675D"/>
    <w:rsid w:val="00396B79"/>
    <w:rsid w:val="003A01FD"/>
    <w:rsid w:val="003A1060"/>
    <w:rsid w:val="003A3189"/>
    <w:rsid w:val="003A3D56"/>
    <w:rsid w:val="003A41E5"/>
    <w:rsid w:val="003A42FE"/>
    <w:rsid w:val="003A439B"/>
    <w:rsid w:val="003A530B"/>
    <w:rsid w:val="003A59C2"/>
    <w:rsid w:val="003B1435"/>
    <w:rsid w:val="003B1970"/>
    <w:rsid w:val="003B1D9B"/>
    <w:rsid w:val="003B2860"/>
    <w:rsid w:val="003B36A7"/>
    <w:rsid w:val="003B3B06"/>
    <w:rsid w:val="003B4807"/>
    <w:rsid w:val="003B4AB9"/>
    <w:rsid w:val="003B4C50"/>
    <w:rsid w:val="003B5199"/>
    <w:rsid w:val="003B5C7E"/>
    <w:rsid w:val="003B6FEE"/>
    <w:rsid w:val="003B7A3C"/>
    <w:rsid w:val="003C1D9A"/>
    <w:rsid w:val="003C20D5"/>
    <w:rsid w:val="003C370F"/>
    <w:rsid w:val="003C42E9"/>
    <w:rsid w:val="003C441B"/>
    <w:rsid w:val="003C4EEA"/>
    <w:rsid w:val="003C67CE"/>
    <w:rsid w:val="003C7755"/>
    <w:rsid w:val="003C7954"/>
    <w:rsid w:val="003C7CA1"/>
    <w:rsid w:val="003D14A5"/>
    <w:rsid w:val="003D22D5"/>
    <w:rsid w:val="003D4FBA"/>
    <w:rsid w:val="003D54C5"/>
    <w:rsid w:val="003D6079"/>
    <w:rsid w:val="003D682B"/>
    <w:rsid w:val="003D685D"/>
    <w:rsid w:val="003D6CBA"/>
    <w:rsid w:val="003D77C6"/>
    <w:rsid w:val="003D7B55"/>
    <w:rsid w:val="003D7E46"/>
    <w:rsid w:val="003E023B"/>
    <w:rsid w:val="003E0319"/>
    <w:rsid w:val="003E12AC"/>
    <w:rsid w:val="003E3419"/>
    <w:rsid w:val="003E3D20"/>
    <w:rsid w:val="003E4DD4"/>
    <w:rsid w:val="003E502B"/>
    <w:rsid w:val="003E59EB"/>
    <w:rsid w:val="003F0FB3"/>
    <w:rsid w:val="003F12D6"/>
    <w:rsid w:val="003F2540"/>
    <w:rsid w:val="003F3479"/>
    <w:rsid w:val="003F3580"/>
    <w:rsid w:val="003F43A1"/>
    <w:rsid w:val="003F4C4C"/>
    <w:rsid w:val="003F4F49"/>
    <w:rsid w:val="003F5C90"/>
    <w:rsid w:val="003F6637"/>
    <w:rsid w:val="003F67BB"/>
    <w:rsid w:val="003F6F88"/>
    <w:rsid w:val="003F7CEC"/>
    <w:rsid w:val="00401407"/>
    <w:rsid w:val="00402646"/>
    <w:rsid w:val="004032D1"/>
    <w:rsid w:val="00403680"/>
    <w:rsid w:val="00405FFE"/>
    <w:rsid w:val="00406737"/>
    <w:rsid w:val="0041058E"/>
    <w:rsid w:val="00410ED1"/>
    <w:rsid w:val="0041113A"/>
    <w:rsid w:val="0041215B"/>
    <w:rsid w:val="004137B1"/>
    <w:rsid w:val="00413907"/>
    <w:rsid w:val="00416530"/>
    <w:rsid w:val="00416721"/>
    <w:rsid w:val="00417EF7"/>
    <w:rsid w:val="00420E76"/>
    <w:rsid w:val="00421744"/>
    <w:rsid w:val="00422054"/>
    <w:rsid w:val="004224CB"/>
    <w:rsid w:val="00422BB0"/>
    <w:rsid w:val="004242FF"/>
    <w:rsid w:val="004275AE"/>
    <w:rsid w:val="00430EE4"/>
    <w:rsid w:val="00432715"/>
    <w:rsid w:val="00432AC1"/>
    <w:rsid w:val="00434CF4"/>
    <w:rsid w:val="00434CFE"/>
    <w:rsid w:val="004353F7"/>
    <w:rsid w:val="00436442"/>
    <w:rsid w:val="004366E1"/>
    <w:rsid w:val="0043698C"/>
    <w:rsid w:val="00441BFB"/>
    <w:rsid w:val="0044377D"/>
    <w:rsid w:val="00444D48"/>
    <w:rsid w:val="00446F67"/>
    <w:rsid w:val="00447127"/>
    <w:rsid w:val="00450972"/>
    <w:rsid w:val="00451186"/>
    <w:rsid w:val="004511A3"/>
    <w:rsid w:val="00451E70"/>
    <w:rsid w:val="004529AD"/>
    <w:rsid w:val="00452D93"/>
    <w:rsid w:val="00454336"/>
    <w:rsid w:val="00454C31"/>
    <w:rsid w:val="00454E7F"/>
    <w:rsid w:val="00454FFF"/>
    <w:rsid w:val="00456B39"/>
    <w:rsid w:val="004572A8"/>
    <w:rsid w:val="00457EFE"/>
    <w:rsid w:val="0046375C"/>
    <w:rsid w:val="004642AC"/>
    <w:rsid w:val="0046440E"/>
    <w:rsid w:val="004649EF"/>
    <w:rsid w:val="00465C27"/>
    <w:rsid w:val="00466110"/>
    <w:rsid w:val="00466241"/>
    <w:rsid w:val="004669D7"/>
    <w:rsid w:val="00467C15"/>
    <w:rsid w:val="004720FE"/>
    <w:rsid w:val="0047226E"/>
    <w:rsid w:val="00472E79"/>
    <w:rsid w:val="0047311A"/>
    <w:rsid w:val="00474A1F"/>
    <w:rsid w:val="00476BCF"/>
    <w:rsid w:val="0047732D"/>
    <w:rsid w:val="00477686"/>
    <w:rsid w:val="00480932"/>
    <w:rsid w:val="004812A6"/>
    <w:rsid w:val="00483110"/>
    <w:rsid w:val="00483A1A"/>
    <w:rsid w:val="004857CD"/>
    <w:rsid w:val="004904E4"/>
    <w:rsid w:val="00490CDD"/>
    <w:rsid w:val="00492219"/>
    <w:rsid w:val="0049317F"/>
    <w:rsid w:val="00493298"/>
    <w:rsid w:val="0049494E"/>
    <w:rsid w:val="00495476"/>
    <w:rsid w:val="00495906"/>
    <w:rsid w:val="00496277"/>
    <w:rsid w:val="0049714D"/>
    <w:rsid w:val="004A0A4C"/>
    <w:rsid w:val="004A1052"/>
    <w:rsid w:val="004A110F"/>
    <w:rsid w:val="004A14C9"/>
    <w:rsid w:val="004A3332"/>
    <w:rsid w:val="004A4094"/>
    <w:rsid w:val="004A6EAC"/>
    <w:rsid w:val="004A7AE9"/>
    <w:rsid w:val="004B118E"/>
    <w:rsid w:val="004B178A"/>
    <w:rsid w:val="004B1B8B"/>
    <w:rsid w:val="004B315D"/>
    <w:rsid w:val="004B3A25"/>
    <w:rsid w:val="004B4077"/>
    <w:rsid w:val="004B42F4"/>
    <w:rsid w:val="004C0869"/>
    <w:rsid w:val="004C1E9E"/>
    <w:rsid w:val="004C1EF8"/>
    <w:rsid w:val="004C23BE"/>
    <w:rsid w:val="004C2F78"/>
    <w:rsid w:val="004C4D59"/>
    <w:rsid w:val="004C4FDB"/>
    <w:rsid w:val="004C5B13"/>
    <w:rsid w:val="004C6EB5"/>
    <w:rsid w:val="004C7DF4"/>
    <w:rsid w:val="004D0785"/>
    <w:rsid w:val="004D0DE1"/>
    <w:rsid w:val="004D1D58"/>
    <w:rsid w:val="004D2283"/>
    <w:rsid w:val="004D23AD"/>
    <w:rsid w:val="004D2979"/>
    <w:rsid w:val="004D3449"/>
    <w:rsid w:val="004D41B5"/>
    <w:rsid w:val="004D439D"/>
    <w:rsid w:val="004D64E7"/>
    <w:rsid w:val="004E0CD1"/>
    <w:rsid w:val="004E1419"/>
    <w:rsid w:val="004E162B"/>
    <w:rsid w:val="004E1D41"/>
    <w:rsid w:val="004E27D2"/>
    <w:rsid w:val="004E324A"/>
    <w:rsid w:val="004E35C2"/>
    <w:rsid w:val="004E4698"/>
    <w:rsid w:val="004E4B3B"/>
    <w:rsid w:val="004E4F66"/>
    <w:rsid w:val="004E7280"/>
    <w:rsid w:val="004E7F04"/>
    <w:rsid w:val="004F1E69"/>
    <w:rsid w:val="004F2A3B"/>
    <w:rsid w:val="004F3297"/>
    <w:rsid w:val="004F4FC6"/>
    <w:rsid w:val="004F5E5E"/>
    <w:rsid w:val="004F5EF2"/>
    <w:rsid w:val="004F6041"/>
    <w:rsid w:val="004F619B"/>
    <w:rsid w:val="004F7A00"/>
    <w:rsid w:val="0050082F"/>
    <w:rsid w:val="0050084D"/>
    <w:rsid w:val="00500C30"/>
    <w:rsid w:val="00501919"/>
    <w:rsid w:val="005028D0"/>
    <w:rsid w:val="00502C71"/>
    <w:rsid w:val="005035E6"/>
    <w:rsid w:val="005063FA"/>
    <w:rsid w:val="00506BAC"/>
    <w:rsid w:val="00507665"/>
    <w:rsid w:val="005105FB"/>
    <w:rsid w:val="005107A0"/>
    <w:rsid w:val="00511A59"/>
    <w:rsid w:val="005120DC"/>
    <w:rsid w:val="005132C0"/>
    <w:rsid w:val="00513640"/>
    <w:rsid w:val="005156A8"/>
    <w:rsid w:val="00515B5B"/>
    <w:rsid w:val="0051618F"/>
    <w:rsid w:val="005163C6"/>
    <w:rsid w:val="00516D2E"/>
    <w:rsid w:val="00520206"/>
    <w:rsid w:val="005207AF"/>
    <w:rsid w:val="00521829"/>
    <w:rsid w:val="00522276"/>
    <w:rsid w:val="00522C59"/>
    <w:rsid w:val="00523559"/>
    <w:rsid w:val="00525B87"/>
    <w:rsid w:val="00525F39"/>
    <w:rsid w:val="0053158C"/>
    <w:rsid w:val="00531CDB"/>
    <w:rsid w:val="0053285E"/>
    <w:rsid w:val="00532ABC"/>
    <w:rsid w:val="00532B02"/>
    <w:rsid w:val="0053338B"/>
    <w:rsid w:val="00533691"/>
    <w:rsid w:val="00533A1D"/>
    <w:rsid w:val="00533BB8"/>
    <w:rsid w:val="005365E5"/>
    <w:rsid w:val="005371FF"/>
    <w:rsid w:val="005407A2"/>
    <w:rsid w:val="00540DCF"/>
    <w:rsid w:val="005410F0"/>
    <w:rsid w:val="00542C55"/>
    <w:rsid w:val="0054339D"/>
    <w:rsid w:val="00543FAF"/>
    <w:rsid w:val="005441F4"/>
    <w:rsid w:val="00545507"/>
    <w:rsid w:val="00546237"/>
    <w:rsid w:val="005466D8"/>
    <w:rsid w:val="005468A4"/>
    <w:rsid w:val="00546EF1"/>
    <w:rsid w:val="0054705E"/>
    <w:rsid w:val="00551660"/>
    <w:rsid w:val="00555527"/>
    <w:rsid w:val="00555843"/>
    <w:rsid w:val="005559B1"/>
    <w:rsid w:val="00555B1F"/>
    <w:rsid w:val="00555C4A"/>
    <w:rsid w:val="00556201"/>
    <w:rsid w:val="005569F6"/>
    <w:rsid w:val="0056005C"/>
    <w:rsid w:val="00561026"/>
    <w:rsid w:val="00561EC2"/>
    <w:rsid w:val="00562899"/>
    <w:rsid w:val="00563960"/>
    <w:rsid w:val="00563BCD"/>
    <w:rsid w:val="00564434"/>
    <w:rsid w:val="005644C6"/>
    <w:rsid w:val="00564AD9"/>
    <w:rsid w:val="005650C0"/>
    <w:rsid w:val="00565267"/>
    <w:rsid w:val="005659DB"/>
    <w:rsid w:val="00566667"/>
    <w:rsid w:val="00566D60"/>
    <w:rsid w:val="0056730B"/>
    <w:rsid w:val="00570DB9"/>
    <w:rsid w:val="00570FB5"/>
    <w:rsid w:val="005711A6"/>
    <w:rsid w:val="00571D19"/>
    <w:rsid w:val="00571F27"/>
    <w:rsid w:val="005721A6"/>
    <w:rsid w:val="00573A66"/>
    <w:rsid w:val="00574BBA"/>
    <w:rsid w:val="00574FD7"/>
    <w:rsid w:val="005769B9"/>
    <w:rsid w:val="005771A0"/>
    <w:rsid w:val="0057782B"/>
    <w:rsid w:val="00580229"/>
    <w:rsid w:val="005817F3"/>
    <w:rsid w:val="00582217"/>
    <w:rsid w:val="00584F44"/>
    <w:rsid w:val="00584F6E"/>
    <w:rsid w:val="0058523F"/>
    <w:rsid w:val="00587CED"/>
    <w:rsid w:val="005901FC"/>
    <w:rsid w:val="0059095F"/>
    <w:rsid w:val="00593FCB"/>
    <w:rsid w:val="00594847"/>
    <w:rsid w:val="005954DC"/>
    <w:rsid w:val="005965F1"/>
    <w:rsid w:val="00596650"/>
    <w:rsid w:val="00596D2B"/>
    <w:rsid w:val="005973D5"/>
    <w:rsid w:val="00597E43"/>
    <w:rsid w:val="005A0C71"/>
    <w:rsid w:val="005A143F"/>
    <w:rsid w:val="005A1B02"/>
    <w:rsid w:val="005A2328"/>
    <w:rsid w:val="005A2B7E"/>
    <w:rsid w:val="005A31AA"/>
    <w:rsid w:val="005A3442"/>
    <w:rsid w:val="005A57EC"/>
    <w:rsid w:val="005A60D1"/>
    <w:rsid w:val="005A70AB"/>
    <w:rsid w:val="005A7BFC"/>
    <w:rsid w:val="005B019B"/>
    <w:rsid w:val="005B18B6"/>
    <w:rsid w:val="005B272F"/>
    <w:rsid w:val="005B278A"/>
    <w:rsid w:val="005B29DF"/>
    <w:rsid w:val="005B304E"/>
    <w:rsid w:val="005B41CD"/>
    <w:rsid w:val="005B454F"/>
    <w:rsid w:val="005B4576"/>
    <w:rsid w:val="005B47E9"/>
    <w:rsid w:val="005B4C28"/>
    <w:rsid w:val="005B4D15"/>
    <w:rsid w:val="005B4DA5"/>
    <w:rsid w:val="005B6EDB"/>
    <w:rsid w:val="005B7569"/>
    <w:rsid w:val="005C1862"/>
    <w:rsid w:val="005C3678"/>
    <w:rsid w:val="005C3B66"/>
    <w:rsid w:val="005C5183"/>
    <w:rsid w:val="005D0314"/>
    <w:rsid w:val="005D0B57"/>
    <w:rsid w:val="005D2AE9"/>
    <w:rsid w:val="005D2B14"/>
    <w:rsid w:val="005D2F12"/>
    <w:rsid w:val="005D47D5"/>
    <w:rsid w:val="005D48DE"/>
    <w:rsid w:val="005D4CB5"/>
    <w:rsid w:val="005D6616"/>
    <w:rsid w:val="005D77B7"/>
    <w:rsid w:val="005E0C03"/>
    <w:rsid w:val="005E145E"/>
    <w:rsid w:val="005E2ED2"/>
    <w:rsid w:val="005E5C7D"/>
    <w:rsid w:val="005E7BE4"/>
    <w:rsid w:val="005F0570"/>
    <w:rsid w:val="005F17A2"/>
    <w:rsid w:val="005F201C"/>
    <w:rsid w:val="005F2240"/>
    <w:rsid w:val="005F3682"/>
    <w:rsid w:val="005F3828"/>
    <w:rsid w:val="005F4523"/>
    <w:rsid w:val="005F4953"/>
    <w:rsid w:val="005F4EF2"/>
    <w:rsid w:val="005F5C80"/>
    <w:rsid w:val="005F6841"/>
    <w:rsid w:val="005F6F66"/>
    <w:rsid w:val="00601094"/>
    <w:rsid w:val="00602D44"/>
    <w:rsid w:val="006040B6"/>
    <w:rsid w:val="0060458C"/>
    <w:rsid w:val="00605D5A"/>
    <w:rsid w:val="00605DD4"/>
    <w:rsid w:val="006066C7"/>
    <w:rsid w:val="006104B0"/>
    <w:rsid w:val="00610C7D"/>
    <w:rsid w:val="0061195B"/>
    <w:rsid w:val="00611AC5"/>
    <w:rsid w:val="006124BE"/>
    <w:rsid w:val="00612C8D"/>
    <w:rsid w:val="00612FAD"/>
    <w:rsid w:val="00614CC1"/>
    <w:rsid w:val="00614D17"/>
    <w:rsid w:val="0061568F"/>
    <w:rsid w:val="00615A0E"/>
    <w:rsid w:val="00615C1C"/>
    <w:rsid w:val="0061661A"/>
    <w:rsid w:val="006167E9"/>
    <w:rsid w:val="00617021"/>
    <w:rsid w:val="00617AC1"/>
    <w:rsid w:val="006203D0"/>
    <w:rsid w:val="0062154A"/>
    <w:rsid w:val="006215C8"/>
    <w:rsid w:val="006229BC"/>
    <w:rsid w:val="006241CA"/>
    <w:rsid w:val="006242D1"/>
    <w:rsid w:val="0062430F"/>
    <w:rsid w:val="0062668E"/>
    <w:rsid w:val="00626DC9"/>
    <w:rsid w:val="006279FC"/>
    <w:rsid w:val="00630F0E"/>
    <w:rsid w:val="00631C8A"/>
    <w:rsid w:val="00631D69"/>
    <w:rsid w:val="00632E50"/>
    <w:rsid w:val="006339E2"/>
    <w:rsid w:val="00633ED9"/>
    <w:rsid w:val="006344A9"/>
    <w:rsid w:val="006352D0"/>
    <w:rsid w:val="00636892"/>
    <w:rsid w:val="00640B24"/>
    <w:rsid w:val="00640ECB"/>
    <w:rsid w:val="00641139"/>
    <w:rsid w:val="00642F00"/>
    <w:rsid w:val="006434C4"/>
    <w:rsid w:val="006452EE"/>
    <w:rsid w:val="00646788"/>
    <w:rsid w:val="00650608"/>
    <w:rsid w:val="00650BB9"/>
    <w:rsid w:val="00651CFB"/>
    <w:rsid w:val="00651F15"/>
    <w:rsid w:val="006539F7"/>
    <w:rsid w:val="00655366"/>
    <w:rsid w:val="00655409"/>
    <w:rsid w:val="00655950"/>
    <w:rsid w:val="00655B96"/>
    <w:rsid w:val="00656CD9"/>
    <w:rsid w:val="0065714D"/>
    <w:rsid w:val="00657C5C"/>
    <w:rsid w:val="006607C7"/>
    <w:rsid w:val="00662D35"/>
    <w:rsid w:val="00662F6B"/>
    <w:rsid w:val="00663D26"/>
    <w:rsid w:val="00664041"/>
    <w:rsid w:val="0066409C"/>
    <w:rsid w:val="006646B6"/>
    <w:rsid w:val="006650DE"/>
    <w:rsid w:val="0066595F"/>
    <w:rsid w:val="00665C9C"/>
    <w:rsid w:val="00665DD3"/>
    <w:rsid w:val="006661FD"/>
    <w:rsid w:val="00666E02"/>
    <w:rsid w:val="00670046"/>
    <w:rsid w:val="00671785"/>
    <w:rsid w:val="00671BC4"/>
    <w:rsid w:val="00672310"/>
    <w:rsid w:val="00672A3A"/>
    <w:rsid w:val="0067389D"/>
    <w:rsid w:val="006757DF"/>
    <w:rsid w:val="00676399"/>
    <w:rsid w:val="0067683D"/>
    <w:rsid w:val="00676F5A"/>
    <w:rsid w:val="0068220B"/>
    <w:rsid w:val="006824D7"/>
    <w:rsid w:val="006826E9"/>
    <w:rsid w:val="006840BD"/>
    <w:rsid w:val="006841B4"/>
    <w:rsid w:val="0068500A"/>
    <w:rsid w:val="00686630"/>
    <w:rsid w:val="006867F5"/>
    <w:rsid w:val="006869C7"/>
    <w:rsid w:val="00686E83"/>
    <w:rsid w:val="00686F3B"/>
    <w:rsid w:val="00687A23"/>
    <w:rsid w:val="006906E6"/>
    <w:rsid w:val="00693481"/>
    <w:rsid w:val="00694205"/>
    <w:rsid w:val="00694710"/>
    <w:rsid w:val="00695BC7"/>
    <w:rsid w:val="0069734E"/>
    <w:rsid w:val="006A002B"/>
    <w:rsid w:val="006A09FE"/>
    <w:rsid w:val="006A1933"/>
    <w:rsid w:val="006A4927"/>
    <w:rsid w:val="006A60BB"/>
    <w:rsid w:val="006B068D"/>
    <w:rsid w:val="006B0B46"/>
    <w:rsid w:val="006B252A"/>
    <w:rsid w:val="006B26F6"/>
    <w:rsid w:val="006B35A1"/>
    <w:rsid w:val="006B39E1"/>
    <w:rsid w:val="006B536B"/>
    <w:rsid w:val="006B53D9"/>
    <w:rsid w:val="006B56DF"/>
    <w:rsid w:val="006B63D3"/>
    <w:rsid w:val="006B66C5"/>
    <w:rsid w:val="006B69D4"/>
    <w:rsid w:val="006B7482"/>
    <w:rsid w:val="006C0239"/>
    <w:rsid w:val="006C03C2"/>
    <w:rsid w:val="006C0B11"/>
    <w:rsid w:val="006C4ED2"/>
    <w:rsid w:val="006C4F70"/>
    <w:rsid w:val="006C5B1C"/>
    <w:rsid w:val="006C6FF1"/>
    <w:rsid w:val="006D0618"/>
    <w:rsid w:val="006D0C7E"/>
    <w:rsid w:val="006D1E97"/>
    <w:rsid w:val="006D2234"/>
    <w:rsid w:val="006D263D"/>
    <w:rsid w:val="006D2E9B"/>
    <w:rsid w:val="006D5A98"/>
    <w:rsid w:val="006D5CC5"/>
    <w:rsid w:val="006D66E9"/>
    <w:rsid w:val="006D6E53"/>
    <w:rsid w:val="006D6F3B"/>
    <w:rsid w:val="006E03BE"/>
    <w:rsid w:val="006E0B6C"/>
    <w:rsid w:val="006E1EB0"/>
    <w:rsid w:val="006E1F90"/>
    <w:rsid w:val="006E308B"/>
    <w:rsid w:val="006E3E6D"/>
    <w:rsid w:val="006E3E76"/>
    <w:rsid w:val="006E5175"/>
    <w:rsid w:val="006E53D4"/>
    <w:rsid w:val="006E6E0E"/>
    <w:rsid w:val="006E7BE2"/>
    <w:rsid w:val="006F085C"/>
    <w:rsid w:val="006F1EDF"/>
    <w:rsid w:val="006F2E90"/>
    <w:rsid w:val="006F47F9"/>
    <w:rsid w:val="006F56F5"/>
    <w:rsid w:val="00700EAD"/>
    <w:rsid w:val="00701955"/>
    <w:rsid w:val="00703C86"/>
    <w:rsid w:val="007043B2"/>
    <w:rsid w:val="007044F3"/>
    <w:rsid w:val="00704AD1"/>
    <w:rsid w:val="00705CA8"/>
    <w:rsid w:val="00706595"/>
    <w:rsid w:val="007068DD"/>
    <w:rsid w:val="00706B92"/>
    <w:rsid w:val="007110AE"/>
    <w:rsid w:val="00711917"/>
    <w:rsid w:val="0071222F"/>
    <w:rsid w:val="0071244F"/>
    <w:rsid w:val="0071286E"/>
    <w:rsid w:val="007129E1"/>
    <w:rsid w:val="0071486B"/>
    <w:rsid w:val="00715C97"/>
    <w:rsid w:val="0071634F"/>
    <w:rsid w:val="007165EB"/>
    <w:rsid w:val="007165FA"/>
    <w:rsid w:val="0071713C"/>
    <w:rsid w:val="0072093B"/>
    <w:rsid w:val="00720AD6"/>
    <w:rsid w:val="00720BCA"/>
    <w:rsid w:val="007212A6"/>
    <w:rsid w:val="00721B6D"/>
    <w:rsid w:val="007228B5"/>
    <w:rsid w:val="00722C7F"/>
    <w:rsid w:val="00723177"/>
    <w:rsid w:val="00724057"/>
    <w:rsid w:val="00724448"/>
    <w:rsid w:val="0072662D"/>
    <w:rsid w:val="00726F96"/>
    <w:rsid w:val="007272FD"/>
    <w:rsid w:val="0072764A"/>
    <w:rsid w:val="007278B2"/>
    <w:rsid w:val="00727AFB"/>
    <w:rsid w:val="007302E5"/>
    <w:rsid w:val="0073141B"/>
    <w:rsid w:val="007319F5"/>
    <w:rsid w:val="00732C82"/>
    <w:rsid w:val="0073386F"/>
    <w:rsid w:val="00735D3B"/>
    <w:rsid w:val="00735D67"/>
    <w:rsid w:val="007360BE"/>
    <w:rsid w:val="00741BE9"/>
    <w:rsid w:val="007420E5"/>
    <w:rsid w:val="0074224B"/>
    <w:rsid w:val="00742DD7"/>
    <w:rsid w:val="00742F33"/>
    <w:rsid w:val="0074491F"/>
    <w:rsid w:val="00745AA9"/>
    <w:rsid w:val="007467F9"/>
    <w:rsid w:val="0074711E"/>
    <w:rsid w:val="0075040B"/>
    <w:rsid w:val="0075123D"/>
    <w:rsid w:val="007513A4"/>
    <w:rsid w:val="007515DB"/>
    <w:rsid w:val="007525F7"/>
    <w:rsid w:val="007535FE"/>
    <w:rsid w:val="00754AF0"/>
    <w:rsid w:val="00754DEA"/>
    <w:rsid w:val="007553A1"/>
    <w:rsid w:val="00755CE8"/>
    <w:rsid w:val="007606DC"/>
    <w:rsid w:val="0076074C"/>
    <w:rsid w:val="00760BDE"/>
    <w:rsid w:val="00761414"/>
    <w:rsid w:val="0076155A"/>
    <w:rsid w:val="007625B5"/>
    <w:rsid w:val="00762E3E"/>
    <w:rsid w:val="00762EEC"/>
    <w:rsid w:val="00763046"/>
    <w:rsid w:val="00763443"/>
    <w:rsid w:val="00763D9F"/>
    <w:rsid w:val="007644ED"/>
    <w:rsid w:val="00765F22"/>
    <w:rsid w:val="00766CA0"/>
    <w:rsid w:val="0076728D"/>
    <w:rsid w:val="007679AF"/>
    <w:rsid w:val="00770E04"/>
    <w:rsid w:val="00771482"/>
    <w:rsid w:val="00772855"/>
    <w:rsid w:val="00772D71"/>
    <w:rsid w:val="00772FD4"/>
    <w:rsid w:val="007744ED"/>
    <w:rsid w:val="00775096"/>
    <w:rsid w:val="007767FF"/>
    <w:rsid w:val="00776829"/>
    <w:rsid w:val="00780CDD"/>
    <w:rsid w:val="00782F86"/>
    <w:rsid w:val="007830E8"/>
    <w:rsid w:val="007837CC"/>
    <w:rsid w:val="00783B42"/>
    <w:rsid w:val="00783B86"/>
    <w:rsid w:val="00783D53"/>
    <w:rsid w:val="007842ED"/>
    <w:rsid w:val="00785D2A"/>
    <w:rsid w:val="0078621D"/>
    <w:rsid w:val="0078776C"/>
    <w:rsid w:val="007913B1"/>
    <w:rsid w:val="00792001"/>
    <w:rsid w:val="00792C98"/>
    <w:rsid w:val="00794CC3"/>
    <w:rsid w:val="00794E1D"/>
    <w:rsid w:val="00795B40"/>
    <w:rsid w:val="007963B4"/>
    <w:rsid w:val="00797F37"/>
    <w:rsid w:val="007A0602"/>
    <w:rsid w:val="007A2312"/>
    <w:rsid w:val="007A288C"/>
    <w:rsid w:val="007A39FE"/>
    <w:rsid w:val="007A48F8"/>
    <w:rsid w:val="007A58CF"/>
    <w:rsid w:val="007A743A"/>
    <w:rsid w:val="007A7973"/>
    <w:rsid w:val="007A7CD6"/>
    <w:rsid w:val="007B3F3D"/>
    <w:rsid w:val="007B51C2"/>
    <w:rsid w:val="007B5454"/>
    <w:rsid w:val="007B6BA8"/>
    <w:rsid w:val="007C01F4"/>
    <w:rsid w:val="007C0653"/>
    <w:rsid w:val="007C0909"/>
    <w:rsid w:val="007C1AB7"/>
    <w:rsid w:val="007C2BC7"/>
    <w:rsid w:val="007C2E07"/>
    <w:rsid w:val="007C3D49"/>
    <w:rsid w:val="007C46A4"/>
    <w:rsid w:val="007C50E7"/>
    <w:rsid w:val="007C6384"/>
    <w:rsid w:val="007C63A6"/>
    <w:rsid w:val="007C72DC"/>
    <w:rsid w:val="007D0F47"/>
    <w:rsid w:val="007D1021"/>
    <w:rsid w:val="007D1E0E"/>
    <w:rsid w:val="007D2821"/>
    <w:rsid w:val="007D4583"/>
    <w:rsid w:val="007E0B99"/>
    <w:rsid w:val="007E0F4E"/>
    <w:rsid w:val="007E1B4C"/>
    <w:rsid w:val="007E2014"/>
    <w:rsid w:val="007E2F12"/>
    <w:rsid w:val="007E2F2D"/>
    <w:rsid w:val="007E338A"/>
    <w:rsid w:val="007E5F5F"/>
    <w:rsid w:val="007E6823"/>
    <w:rsid w:val="007E6D9C"/>
    <w:rsid w:val="007F027F"/>
    <w:rsid w:val="007F16E5"/>
    <w:rsid w:val="007F1831"/>
    <w:rsid w:val="007F2270"/>
    <w:rsid w:val="007F3998"/>
    <w:rsid w:val="007F3F2F"/>
    <w:rsid w:val="007F3FD4"/>
    <w:rsid w:val="007F406D"/>
    <w:rsid w:val="007F5638"/>
    <w:rsid w:val="007F6891"/>
    <w:rsid w:val="007F769D"/>
    <w:rsid w:val="007F7C82"/>
    <w:rsid w:val="0080134A"/>
    <w:rsid w:val="008020A6"/>
    <w:rsid w:val="008022FC"/>
    <w:rsid w:val="00802677"/>
    <w:rsid w:val="0080302F"/>
    <w:rsid w:val="008032C3"/>
    <w:rsid w:val="00804274"/>
    <w:rsid w:val="0080436F"/>
    <w:rsid w:val="00804467"/>
    <w:rsid w:val="00804635"/>
    <w:rsid w:val="00804812"/>
    <w:rsid w:val="00806C5B"/>
    <w:rsid w:val="008107F1"/>
    <w:rsid w:val="008119F9"/>
    <w:rsid w:val="00813B60"/>
    <w:rsid w:val="00814883"/>
    <w:rsid w:val="00816250"/>
    <w:rsid w:val="00816536"/>
    <w:rsid w:val="008171D3"/>
    <w:rsid w:val="0081744D"/>
    <w:rsid w:val="00820835"/>
    <w:rsid w:val="00820D37"/>
    <w:rsid w:val="008216F3"/>
    <w:rsid w:val="00821722"/>
    <w:rsid w:val="0082626A"/>
    <w:rsid w:val="00826598"/>
    <w:rsid w:val="00830FF9"/>
    <w:rsid w:val="00831158"/>
    <w:rsid w:val="0083150D"/>
    <w:rsid w:val="00831D1E"/>
    <w:rsid w:val="008321D2"/>
    <w:rsid w:val="00834147"/>
    <w:rsid w:val="008341AF"/>
    <w:rsid w:val="00834D93"/>
    <w:rsid w:val="00835753"/>
    <w:rsid w:val="00835B1C"/>
    <w:rsid w:val="00840356"/>
    <w:rsid w:val="00840A31"/>
    <w:rsid w:val="00840C5B"/>
    <w:rsid w:val="00841BAB"/>
    <w:rsid w:val="00842AD7"/>
    <w:rsid w:val="008435C3"/>
    <w:rsid w:val="00846231"/>
    <w:rsid w:val="00847EBF"/>
    <w:rsid w:val="00847F82"/>
    <w:rsid w:val="00851855"/>
    <w:rsid w:val="008521C1"/>
    <w:rsid w:val="00853D10"/>
    <w:rsid w:val="0085459E"/>
    <w:rsid w:val="00855BBC"/>
    <w:rsid w:val="0085783D"/>
    <w:rsid w:val="00863F5C"/>
    <w:rsid w:val="00863FD4"/>
    <w:rsid w:val="00865744"/>
    <w:rsid w:val="00865797"/>
    <w:rsid w:val="00866223"/>
    <w:rsid w:val="0086731D"/>
    <w:rsid w:val="008679E3"/>
    <w:rsid w:val="0087189D"/>
    <w:rsid w:val="00875216"/>
    <w:rsid w:val="0088014B"/>
    <w:rsid w:val="00880199"/>
    <w:rsid w:val="008803A4"/>
    <w:rsid w:val="00880C14"/>
    <w:rsid w:val="00883379"/>
    <w:rsid w:val="00883392"/>
    <w:rsid w:val="00883489"/>
    <w:rsid w:val="008834F9"/>
    <w:rsid w:val="00884DB1"/>
    <w:rsid w:val="00885059"/>
    <w:rsid w:val="008855A0"/>
    <w:rsid w:val="00885C6F"/>
    <w:rsid w:val="0088674D"/>
    <w:rsid w:val="008875F5"/>
    <w:rsid w:val="00890088"/>
    <w:rsid w:val="008901D5"/>
    <w:rsid w:val="00890390"/>
    <w:rsid w:val="008905B9"/>
    <w:rsid w:val="00890A85"/>
    <w:rsid w:val="00890C49"/>
    <w:rsid w:val="00891362"/>
    <w:rsid w:val="00893730"/>
    <w:rsid w:val="00895FD9"/>
    <w:rsid w:val="0089611C"/>
    <w:rsid w:val="00896B01"/>
    <w:rsid w:val="00896D21"/>
    <w:rsid w:val="00897961"/>
    <w:rsid w:val="00897F4F"/>
    <w:rsid w:val="008A020F"/>
    <w:rsid w:val="008A3E36"/>
    <w:rsid w:val="008A4B56"/>
    <w:rsid w:val="008A54D4"/>
    <w:rsid w:val="008A69B9"/>
    <w:rsid w:val="008A6ADE"/>
    <w:rsid w:val="008A7612"/>
    <w:rsid w:val="008A76A1"/>
    <w:rsid w:val="008B025B"/>
    <w:rsid w:val="008B1AD6"/>
    <w:rsid w:val="008B31F2"/>
    <w:rsid w:val="008B484A"/>
    <w:rsid w:val="008B4994"/>
    <w:rsid w:val="008B55AD"/>
    <w:rsid w:val="008B58A0"/>
    <w:rsid w:val="008B5B8C"/>
    <w:rsid w:val="008B5C23"/>
    <w:rsid w:val="008B6279"/>
    <w:rsid w:val="008B7A3E"/>
    <w:rsid w:val="008C0C63"/>
    <w:rsid w:val="008C14D0"/>
    <w:rsid w:val="008C2355"/>
    <w:rsid w:val="008D066F"/>
    <w:rsid w:val="008D220B"/>
    <w:rsid w:val="008D27BB"/>
    <w:rsid w:val="008D2929"/>
    <w:rsid w:val="008D2C65"/>
    <w:rsid w:val="008D2F8D"/>
    <w:rsid w:val="008D6B96"/>
    <w:rsid w:val="008E15C9"/>
    <w:rsid w:val="008E1D1C"/>
    <w:rsid w:val="008E20C6"/>
    <w:rsid w:val="008E463A"/>
    <w:rsid w:val="008E483E"/>
    <w:rsid w:val="008E73B1"/>
    <w:rsid w:val="008E7471"/>
    <w:rsid w:val="008F018B"/>
    <w:rsid w:val="008F02C4"/>
    <w:rsid w:val="008F02C9"/>
    <w:rsid w:val="008F0A7B"/>
    <w:rsid w:val="008F1A68"/>
    <w:rsid w:val="008F2C5A"/>
    <w:rsid w:val="008F4983"/>
    <w:rsid w:val="008F4B6C"/>
    <w:rsid w:val="008F5F73"/>
    <w:rsid w:val="008F747E"/>
    <w:rsid w:val="008F7A5E"/>
    <w:rsid w:val="008F7AAE"/>
    <w:rsid w:val="00900387"/>
    <w:rsid w:val="00900BA1"/>
    <w:rsid w:val="0090103A"/>
    <w:rsid w:val="00901B1A"/>
    <w:rsid w:val="00904135"/>
    <w:rsid w:val="009042D7"/>
    <w:rsid w:val="00904B3C"/>
    <w:rsid w:val="00904E4E"/>
    <w:rsid w:val="00905076"/>
    <w:rsid w:val="00905877"/>
    <w:rsid w:val="00905AAB"/>
    <w:rsid w:val="00905E09"/>
    <w:rsid w:val="009067BF"/>
    <w:rsid w:val="009103E0"/>
    <w:rsid w:val="00910804"/>
    <w:rsid w:val="00912D8B"/>
    <w:rsid w:val="00914D22"/>
    <w:rsid w:val="00914FB1"/>
    <w:rsid w:val="00916EED"/>
    <w:rsid w:val="00920A0D"/>
    <w:rsid w:val="00920F5B"/>
    <w:rsid w:val="009212CC"/>
    <w:rsid w:val="00922AFC"/>
    <w:rsid w:val="00924272"/>
    <w:rsid w:val="0092536D"/>
    <w:rsid w:val="00925E23"/>
    <w:rsid w:val="00927A52"/>
    <w:rsid w:val="00930157"/>
    <w:rsid w:val="00931692"/>
    <w:rsid w:val="00931CF8"/>
    <w:rsid w:val="00931D6C"/>
    <w:rsid w:val="00931D8D"/>
    <w:rsid w:val="00932BAF"/>
    <w:rsid w:val="009343FC"/>
    <w:rsid w:val="00935545"/>
    <w:rsid w:val="00935553"/>
    <w:rsid w:val="00940789"/>
    <w:rsid w:val="00941D8C"/>
    <w:rsid w:val="00942349"/>
    <w:rsid w:val="009437DF"/>
    <w:rsid w:val="00944118"/>
    <w:rsid w:val="00944677"/>
    <w:rsid w:val="00946C22"/>
    <w:rsid w:val="009476BD"/>
    <w:rsid w:val="00947A2D"/>
    <w:rsid w:val="00952057"/>
    <w:rsid w:val="00952DA5"/>
    <w:rsid w:val="00954106"/>
    <w:rsid w:val="00954157"/>
    <w:rsid w:val="009543F1"/>
    <w:rsid w:val="009548AC"/>
    <w:rsid w:val="009549DE"/>
    <w:rsid w:val="00954B6F"/>
    <w:rsid w:val="00955001"/>
    <w:rsid w:val="00956BF6"/>
    <w:rsid w:val="00956CCA"/>
    <w:rsid w:val="009575F0"/>
    <w:rsid w:val="00957A61"/>
    <w:rsid w:val="009603CA"/>
    <w:rsid w:val="009628AE"/>
    <w:rsid w:val="009628F8"/>
    <w:rsid w:val="00962B60"/>
    <w:rsid w:val="00962D27"/>
    <w:rsid w:val="009670A9"/>
    <w:rsid w:val="00967216"/>
    <w:rsid w:val="009678E3"/>
    <w:rsid w:val="009703B1"/>
    <w:rsid w:val="009707B6"/>
    <w:rsid w:val="00970B66"/>
    <w:rsid w:val="009712EE"/>
    <w:rsid w:val="00971661"/>
    <w:rsid w:val="00971B6B"/>
    <w:rsid w:val="00975A57"/>
    <w:rsid w:val="00976BCD"/>
    <w:rsid w:val="00976BE2"/>
    <w:rsid w:val="009816F3"/>
    <w:rsid w:val="00981809"/>
    <w:rsid w:val="00982663"/>
    <w:rsid w:val="0098276D"/>
    <w:rsid w:val="009840BF"/>
    <w:rsid w:val="0098416E"/>
    <w:rsid w:val="00985C49"/>
    <w:rsid w:val="00986B8D"/>
    <w:rsid w:val="009873B7"/>
    <w:rsid w:val="00987D5E"/>
    <w:rsid w:val="0099114B"/>
    <w:rsid w:val="0099121A"/>
    <w:rsid w:val="00991A49"/>
    <w:rsid w:val="009921A1"/>
    <w:rsid w:val="00992FFB"/>
    <w:rsid w:val="00993D02"/>
    <w:rsid w:val="0099524F"/>
    <w:rsid w:val="00995345"/>
    <w:rsid w:val="009959B9"/>
    <w:rsid w:val="009964DE"/>
    <w:rsid w:val="009A0130"/>
    <w:rsid w:val="009A0D98"/>
    <w:rsid w:val="009A19A7"/>
    <w:rsid w:val="009A1AA8"/>
    <w:rsid w:val="009A1B80"/>
    <w:rsid w:val="009B1136"/>
    <w:rsid w:val="009B1F05"/>
    <w:rsid w:val="009B309B"/>
    <w:rsid w:val="009B31AA"/>
    <w:rsid w:val="009B4073"/>
    <w:rsid w:val="009B50F8"/>
    <w:rsid w:val="009B5586"/>
    <w:rsid w:val="009B571B"/>
    <w:rsid w:val="009B5C9B"/>
    <w:rsid w:val="009B66E8"/>
    <w:rsid w:val="009C0355"/>
    <w:rsid w:val="009C1352"/>
    <w:rsid w:val="009C1E8A"/>
    <w:rsid w:val="009C3D79"/>
    <w:rsid w:val="009C4691"/>
    <w:rsid w:val="009C4FA4"/>
    <w:rsid w:val="009D19B7"/>
    <w:rsid w:val="009D1F3A"/>
    <w:rsid w:val="009D2048"/>
    <w:rsid w:val="009D2696"/>
    <w:rsid w:val="009D3AB8"/>
    <w:rsid w:val="009D46EC"/>
    <w:rsid w:val="009D487B"/>
    <w:rsid w:val="009D488A"/>
    <w:rsid w:val="009D5346"/>
    <w:rsid w:val="009D602B"/>
    <w:rsid w:val="009D6E02"/>
    <w:rsid w:val="009E1BE6"/>
    <w:rsid w:val="009E248D"/>
    <w:rsid w:val="009E3134"/>
    <w:rsid w:val="009E52AD"/>
    <w:rsid w:val="009E6290"/>
    <w:rsid w:val="009E6291"/>
    <w:rsid w:val="009E7A42"/>
    <w:rsid w:val="009E7B80"/>
    <w:rsid w:val="009F139E"/>
    <w:rsid w:val="009F1BC9"/>
    <w:rsid w:val="009F233A"/>
    <w:rsid w:val="009F2886"/>
    <w:rsid w:val="009F2A3F"/>
    <w:rsid w:val="009F5766"/>
    <w:rsid w:val="009F62F2"/>
    <w:rsid w:val="009F6771"/>
    <w:rsid w:val="009F71C3"/>
    <w:rsid w:val="009F7403"/>
    <w:rsid w:val="009F7828"/>
    <w:rsid w:val="00A004DE"/>
    <w:rsid w:val="00A00A0D"/>
    <w:rsid w:val="00A01B8B"/>
    <w:rsid w:val="00A03882"/>
    <w:rsid w:val="00A058E3"/>
    <w:rsid w:val="00A0680B"/>
    <w:rsid w:val="00A07AE8"/>
    <w:rsid w:val="00A116C7"/>
    <w:rsid w:val="00A11CAC"/>
    <w:rsid w:val="00A11F2B"/>
    <w:rsid w:val="00A12377"/>
    <w:rsid w:val="00A12950"/>
    <w:rsid w:val="00A13BE2"/>
    <w:rsid w:val="00A14C8D"/>
    <w:rsid w:val="00A16450"/>
    <w:rsid w:val="00A1683C"/>
    <w:rsid w:val="00A24198"/>
    <w:rsid w:val="00A24D23"/>
    <w:rsid w:val="00A24F26"/>
    <w:rsid w:val="00A25000"/>
    <w:rsid w:val="00A264A1"/>
    <w:rsid w:val="00A26BCE"/>
    <w:rsid w:val="00A2773E"/>
    <w:rsid w:val="00A31370"/>
    <w:rsid w:val="00A32F77"/>
    <w:rsid w:val="00A33A89"/>
    <w:rsid w:val="00A34DA4"/>
    <w:rsid w:val="00A361A9"/>
    <w:rsid w:val="00A36907"/>
    <w:rsid w:val="00A36EC9"/>
    <w:rsid w:val="00A37080"/>
    <w:rsid w:val="00A374B2"/>
    <w:rsid w:val="00A3787B"/>
    <w:rsid w:val="00A414FA"/>
    <w:rsid w:val="00A41532"/>
    <w:rsid w:val="00A42D76"/>
    <w:rsid w:val="00A44429"/>
    <w:rsid w:val="00A44A7B"/>
    <w:rsid w:val="00A45E3B"/>
    <w:rsid w:val="00A47F7F"/>
    <w:rsid w:val="00A50415"/>
    <w:rsid w:val="00A5221E"/>
    <w:rsid w:val="00A5305E"/>
    <w:rsid w:val="00A53F07"/>
    <w:rsid w:val="00A54FE4"/>
    <w:rsid w:val="00A56D0C"/>
    <w:rsid w:val="00A575E2"/>
    <w:rsid w:val="00A57E54"/>
    <w:rsid w:val="00A605EF"/>
    <w:rsid w:val="00A609F5"/>
    <w:rsid w:val="00A627B3"/>
    <w:rsid w:val="00A62B1B"/>
    <w:rsid w:val="00A64879"/>
    <w:rsid w:val="00A648A8"/>
    <w:rsid w:val="00A64C5E"/>
    <w:rsid w:val="00A65195"/>
    <w:rsid w:val="00A65505"/>
    <w:rsid w:val="00A664DE"/>
    <w:rsid w:val="00A6676C"/>
    <w:rsid w:val="00A67892"/>
    <w:rsid w:val="00A67BD2"/>
    <w:rsid w:val="00A67FF0"/>
    <w:rsid w:val="00A706F5"/>
    <w:rsid w:val="00A70B86"/>
    <w:rsid w:val="00A73A25"/>
    <w:rsid w:val="00A742D5"/>
    <w:rsid w:val="00A8089A"/>
    <w:rsid w:val="00A808B2"/>
    <w:rsid w:val="00A80FB6"/>
    <w:rsid w:val="00A81192"/>
    <w:rsid w:val="00A823BB"/>
    <w:rsid w:val="00A831BF"/>
    <w:rsid w:val="00A83494"/>
    <w:rsid w:val="00A8357C"/>
    <w:rsid w:val="00A866BC"/>
    <w:rsid w:val="00A86892"/>
    <w:rsid w:val="00A86CBF"/>
    <w:rsid w:val="00A86F04"/>
    <w:rsid w:val="00A87FBB"/>
    <w:rsid w:val="00A90649"/>
    <w:rsid w:val="00A909F8"/>
    <w:rsid w:val="00A90F11"/>
    <w:rsid w:val="00A90F56"/>
    <w:rsid w:val="00A91191"/>
    <w:rsid w:val="00A91A12"/>
    <w:rsid w:val="00A92571"/>
    <w:rsid w:val="00A92865"/>
    <w:rsid w:val="00A9379B"/>
    <w:rsid w:val="00A948F7"/>
    <w:rsid w:val="00A94BC5"/>
    <w:rsid w:val="00A9503B"/>
    <w:rsid w:val="00A960BC"/>
    <w:rsid w:val="00A96395"/>
    <w:rsid w:val="00A97A36"/>
    <w:rsid w:val="00AA0535"/>
    <w:rsid w:val="00AA1156"/>
    <w:rsid w:val="00AA3189"/>
    <w:rsid w:val="00AA3DCC"/>
    <w:rsid w:val="00AA4462"/>
    <w:rsid w:val="00AA4735"/>
    <w:rsid w:val="00AA5100"/>
    <w:rsid w:val="00AA5BEF"/>
    <w:rsid w:val="00AA7881"/>
    <w:rsid w:val="00AA7962"/>
    <w:rsid w:val="00AA7D26"/>
    <w:rsid w:val="00AB2EEA"/>
    <w:rsid w:val="00AB3683"/>
    <w:rsid w:val="00AB5150"/>
    <w:rsid w:val="00AB5727"/>
    <w:rsid w:val="00AB7A0B"/>
    <w:rsid w:val="00AC066F"/>
    <w:rsid w:val="00AC171D"/>
    <w:rsid w:val="00AC23A2"/>
    <w:rsid w:val="00AC34FB"/>
    <w:rsid w:val="00AC5269"/>
    <w:rsid w:val="00AC6B75"/>
    <w:rsid w:val="00AC747D"/>
    <w:rsid w:val="00AD114C"/>
    <w:rsid w:val="00AD1752"/>
    <w:rsid w:val="00AD180F"/>
    <w:rsid w:val="00AD19F6"/>
    <w:rsid w:val="00AD327F"/>
    <w:rsid w:val="00AD3412"/>
    <w:rsid w:val="00AD5084"/>
    <w:rsid w:val="00AD70BB"/>
    <w:rsid w:val="00AD7894"/>
    <w:rsid w:val="00AE02CF"/>
    <w:rsid w:val="00AE104B"/>
    <w:rsid w:val="00AE1363"/>
    <w:rsid w:val="00AE1DF1"/>
    <w:rsid w:val="00AE3928"/>
    <w:rsid w:val="00AE3972"/>
    <w:rsid w:val="00AE4385"/>
    <w:rsid w:val="00AE474B"/>
    <w:rsid w:val="00AE4EB9"/>
    <w:rsid w:val="00AE52A9"/>
    <w:rsid w:val="00AE7B55"/>
    <w:rsid w:val="00AF0DC7"/>
    <w:rsid w:val="00AF12B5"/>
    <w:rsid w:val="00AF3980"/>
    <w:rsid w:val="00AF46C7"/>
    <w:rsid w:val="00AF47E0"/>
    <w:rsid w:val="00AF4C8E"/>
    <w:rsid w:val="00AF6284"/>
    <w:rsid w:val="00AF7090"/>
    <w:rsid w:val="00AF74E1"/>
    <w:rsid w:val="00AF7B65"/>
    <w:rsid w:val="00AF7FBF"/>
    <w:rsid w:val="00B010F9"/>
    <w:rsid w:val="00B0296F"/>
    <w:rsid w:val="00B03BC5"/>
    <w:rsid w:val="00B043F4"/>
    <w:rsid w:val="00B044BB"/>
    <w:rsid w:val="00B04BC6"/>
    <w:rsid w:val="00B05A8A"/>
    <w:rsid w:val="00B06598"/>
    <w:rsid w:val="00B06AC7"/>
    <w:rsid w:val="00B0778F"/>
    <w:rsid w:val="00B100D7"/>
    <w:rsid w:val="00B10228"/>
    <w:rsid w:val="00B11487"/>
    <w:rsid w:val="00B11B46"/>
    <w:rsid w:val="00B11FA4"/>
    <w:rsid w:val="00B1238E"/>
    <w:rsid w:val="00B12870"/>
    <w:rsid w:val="00B130C3"/>
    <w:rsid w:val="00B131D9"/>
    <w:rsid w:val="00B1472C"/>
    <w:rsid w:val="00B1487B"/>
    <w:rsid w:val="00B152C4"/>
    <w:rsid w:val="00B15EB0"/>
    <w:rsid w:val="00B17BAE"/>
    <w:rsid w:val="00B20D45"/>
    <w:rsid w:val="00B21774"/>
    <w:rsid w:val="00B22E75"/>
    <w:rsid w:val="00B24135"/>
    <w:rsid w:val="00B24C8A"/>
    <w:rsid w:val="00B26164"/>
    <w:rsid w:val="00B26910"/>
    <w:rsid w:val="00B27024"/>
    <w:rsid w:val="00B27F82"/>
    <w:rsid w:val="00B3175C"/>
    <w:rsid w:val="00B32271"/>
    <w:rsid w:val="00B33768"/>
    <w:rsid w:val="00B35920"/>
    <w:rsid w:val="00B36E69"/>
    <w:rsid w:val="00B3711C"/>
    <w:rsid w:val="00B372CA"/>
    <w:rsid w:val="00B40701"/>
    <w:rsid w:val="00B41F9D"/>
    <w:rsid w:val="00B42564"/>
    <w:rsid w:val="00B42587"/>
    <w:rsid w:val="00B433E0"/>
    <w:rsid w:val="00B43530"/>
    <w:rsid w:val="00B43BAB"/>
    <w:rsid w:val="00B443BA"/>
    <w:rsid w:val="00B45E6E"/>
    <w:rsid w:val="00B460BC"/>
    <w:rsid w:val="00B46457"/>
    <w:rsid w:val="00B46556"/>
    <w:rsid w:val="00B46ED4"/>
    <w:rsid w:val="00B47B6F"/>
    <w:rsid w:val="00B50667"/>
    <w:rsid w:val="00B50C7E"/>
    <w:rsid w:val="00B5173C"/>
    <w:rsid w:val="00B51997"/>
    <w:rsid w:val="00B534FC"/>
    <w:rsid w:val="00B5473C"/>
    <w:rsid w:val="00B54A24"/>
    <w:rsid w:val="00B54CFB"/>
    <w:rsid w:val="00B5582A"/>
    <w:rsid w:val="00B5678E"/>
    <w:rsid w:val="00B56F20"/>
    <w:rsid w:val="00B5724B"/>
    <w:rsid w:val="00B61298"/>
    <w:rsid w:val="00B630AB"/>
    <w:rsid w:val="00B63F97"/>
    <w:rsid w:val="00B64227"/>
    <w:rsid w:val="00B64B58"/>
    <w:rsid w:val="00B64F4C"/>
    <w:rsid w:val="00B66013"/>
    <w:rsid w:val="00B664F4"/>
    <w:rsid w:val="00B67F42"/>
    <w:rsid w:val="00B70046"/>
    <w:rsid w:val="00B739F7"/>
    <w:rsid w:val="00B74F38"/>
    <w:rsid w:val="00B75697"/>
    <w:rsid w:val="00B759CB"/>
    <w:rsid w:val="00B76170"/>
    <w:rsid w:val="00B76B08"/>
    <w:rsid w:val="00B76CE8"/>
    <w:rsid w:val="00B777B4"/>
    <w:rsid w:val="00B77806"/>
    <w:rsid w:val="00B812F8"/>
    <w:rsid w:val="00B83CB7"/>
    <w:rsid w:val="00B84C83"/>
    <w:rsid w:val="00B86485"/>
    <w:rsid w:val="00B86C0D"/>
    <w:rsid w:val="00B9043C"/>
    <w:rsid w:val="00B911D9"/>
    <w:rsid w:val="00B9257A"/>
    <w:rsid w:val="00B92D07"/>
    <w:rsid w:val="00B955F7"/>
    <w:rsid w:val="00B95E3A"/>
    <w:rsid w:val="00BA0B2E"/>
    <w:rsid w:val="00BA0E55"/>
    <w:rsid w:val="00BA349F"/>
    <w:rsid w:val="00BA7212"/>
    <w:rsid w:val="00BA77DC"/>
    <w:rsid w:val="00BA7885"/>
    <w:rsid w:val="00BB0013"/>
    <w:rsid w:val="00BB1E6F"/>
    <w:rsid w:val="00BB2DC6"/>
    <w:rsid w:val="00BB3256"/>
    <w:rsid w:val="00BB33CF"/>
    <w:rsid w:val="00BB47E9"/>
    <w:rsid w:val="00BB4DDA"/>
    <w:rsid w:val="00BB556F"/>
    <w:rsid w:val="00BB6180"/>
    <w:rsid w:val="00BB6B60"/>
    <w:rsid w:val="00BB7A90"/>
    <w:rsid w:val="00BC133F"/>
    <w:rsid w:val="00BC24CA"/>
    <w:rsid w:val="00BC3A15"/>
    <w:rsid w:val="00BC50C4"/>
    <w:rsid w:val="00BC6771"/>
    <w:rsid w:val="00BC68A9"/>
    <w:rsid w:val="00BC6AA3"/>
    <w:rsid w:val="00BC6D04"/>
    <w:rsid w:val="00BD084E"/>
    <w:rsid w:val="00BD18EF"/>
    <w:rsid w:val="00BD54A6"/>
    <w:rsid w:val="00BD5EEE"/>
    <w:rsid w:val="00BD6386"/>
    <w:rsid w:val="00BE00B6"/>
    <w:rsid w:val="00BE069B"/>
    <w:rsid w:val="00BE0CB2"/>
    <w:rsid w:val="00BE2821"/>
    <w:rsid w:val="00BE2959"/>
    <w:rsid w:val="00BE3C29"/>
    <w:rsid w:val="00BE50DA"/>
    <w:rsid w:val="00BE700D"/>
    <w:rsid w:val="00BE7476"/>
    <w:rsid w:val="00BF0AE1"/>
    <w:rsid w:val="00BF1A8E"/>
    <w:rsid w:val="00BF2353"/>
    <w:rsid w:val="00BF5284"/>
    <w:rsid w:val="00BF5FAF"/>
    <w:rsid w:val="00BF6E14"/>
    <w:rsid w:val="00BF703B"/>
    <w:rsid w:val="00BF7627"/>
    <w:rsid w:val="00C010AD"/>
    <w:rsid w:val="00C0277C"/>
    <w:rsid w:val="00C02A45"/>
    <w:rsid w:val="00C02B8A"/>
    <w:rsid w:val="00C03394"/>
    <w:rsid w:val="00C05219"/>
    <w:rsid w:val="00C062D6"/>
    <w:rsid w:val="00C0798C"/>
    <w:rsid w:val="00C07D19"/>
    <w:rsid w:val="00C07ED6"/>
    <w:rsid w:val="00C10505"/>
    <w:rsid w:val="00C11016"/>
    <w:rsid w:val="00C11612"/>
    <w:rsid w:val="00C135F0"/>
    <w:rsid w:val="00C13C1F"/>
    <w:rsid w:val="00C1575D"/>
    <w:rsid w:val="00C159FF"/>
    <w:rsid w:val="00C15DE6"/>
    <w:rsid w:val="00C16494"/>
    <w:rsid w:val="00C1653F"/>
    <w:rsid w:val="00C1686A"/>
    <w:rsid w:val="00C1746B"/>
    <w:rsid w:val="00C2037C"/>
    <w:rsid w:val="00C20553"/>
    <w:rsid w:val="00C208D3"/>
    <w:rsid w:val="00C225E0"/>
    <w:rsid w:val="00C228FA"/>
    <w:rsid w:val="00C22D1E"/>
    <w:rsid w:val="00C268B0"/>
    <w:rsid w:val="00C272E6"/>
    <w:rsid w:val="00C27BD6"/>
    <w:rsid w:val="00C307E4"/>
    <w:rsid w:val="00C30D4C"/>
    <w:rsid w:val="00C311E0"/>
    <w:rsid w:val="00C31E7C"/>
    <w:rsid w:val="00C321CF"/>
    <w:rsid w:val="00C3225C"/>
    <w:rsid w:val="00C356DE"/>
    <w:rsid w:val="00C35896"/>
    <w:rsid w:val="00C35D83"/>
    <w:rsid w:val="00C35F7C"/>
    <w:rsid w:val="00C36155"/>
    <w:rsid w:val="00C37182"/>
    <w:rsid w:val="00C372DA"/>
    <w:rsid w:val="00C405E6"/>
    <w:rsid w:val="00C41055"/>
    <w:rsid w:val="00C41CF0"/>
    <w:rsid w:val="00C421BD"/>
    <w:rsid w:val="00C43863"/>
    <w:rsid w:val="00C44955"/>
    <w:rsid w:val="00C44D17"/>
    <w:rsid w:val="00C45209"/>
    <w:rsid w:val="00C457FF"/>
    <w:rsid w:val="00C45B4B"/>
    <w:rsid w:val="00C477C0"/>
    <w:rsid w:val="00C47F60"/>
    <w:rsid w:val="00C50659"/>
    <w:rsid w:val="00C50770"/>
    <w:rsid w:val="00C51236"/>
    <w:rsid w:val="00C523A7"/>
    <w:rsid w:val="00C5299B"/>
    <w:rsid w:val="00C52BDE"/>
    <w:rsid w:val="00C534FF"/>
    <w:rsid w:val="00C536C4"/>
    <w:rsid w:val="00C53BA1"/>
    <w:rsid w:val="00C53C76"/>
    <w:rsid w:val="00C550D5"/>
    <w:rsid w:val="00C56361"/>
    <w:rsid w:val="00C571CD"/>
    <w:rsid w:val="00C5754A"/>
    <w:rsid w:val="00C57AEB"/>
    <w:rsid w:val="00C602BF"/>
    <w:rsid w:val="00C61C99"/>
    <w:rsid w:val="00C628AD"/>
    <w:rsid w:val="00C642BE"/>
    <w:rsid w:val="00C64505"/>
    <w:rsid w:val="00C65287"/>
    <w:rsid w:val="00C652E4"/>
    <w:rsid w:val="00C6584C"/>
    <w:rsid w:val="00C6629D"/>
    <w:rsid w:val="00C67706"/>
    <w:rsid w:val="00C704A8"/>
    <w:rsid w:val="00C70FCE"/>
    <w:rsid w:val="00C711A2"/>
    <w:rsid w:val="00C71571"/>
    <w:rsid w:val="00C71758"/>
    <w:rsid w:val="00C71F36"/>
    <w:rsid w:val="00C72C79"/>
    <w:rsid w:val="00C72CEB"/>
    <w:rsid w:val="00C73317"/>
    <w:rsid w:val="00C73BE9"/>
    <w:rsid w:val="00C74D29"/>
    <w:rsid w:val="00C75924"/>
    <w:rsid w:val="00C76045"/>
    <w:rsid w:val="00C77348"/>
    <w:rsid w:val="00C774C2"/>
    <w:rsid w:val="00C80270"/>
    <w:rsid w:val="00C81FCB"/>
    <w:rsid w:val="00C829E1"/>
    <w:rsid w:val="00C84654"/>
    <w:rsid w:val="00C850E5"/>
    <w:rsid w:val="00C864AA"/>
    <w:rsid w:val="00C8657A"/>
    <w:rsid w:val="00C86B96"/>
    <w:rsid w:val="00C870F8"/>
    <w:rsid w:val="00C87E12"/>
    <w:rsid w:val="00C9055A"/>
    <w:rsid w:val="00C90785"/>
    <w:rsid w:val="00C90C98"/>
    <w:rsid w:val="00C90E5E"/>
    <w:rsid w:val="00C914F1"/>
    <w:rsid w:val="00C921D3"/>
    <w:rsid w:val="00C92229"/>
    <w:rsid w:val="00C925AE"/>
    <w:rsid w:val="00C93A02"/>
    <w:rsid w:val="00C93A0C"/>
    <w:rsid w:val="00C9442B"/>
    <w:rsid w:val="00C95026"/>
    <w:rsid w:val="00C96233"/>
    <w:rsid w:val="00C966D2"/>
    <w:rsid w:val="00C96E8B"/>
    <w:rsid w:val="00C97528"/>
    <w:rsid w:val="00CA069B"/>
    <w:rsid w:val="00CA23D6"/>
    <w:rsid w:val="00CA34B6"/>
    <w:rsid w:val="00CA410E"/>
    <w:rsid w:val="00CA5BC3"/>
    <w:rsid w:val="00CA6220"/>
    <w:rsid w:val="00CA6614"/>
    <w:rsid w:val="00CB0867"/>
    <w:rsid w:val="00CB115C"/>
    <w:rsid w:val="00CB141D"/>
    <w:rsid w:val="00CB1807"/>
    <w:rsid w:val="00CB203F"/>
    <w:rsid w:val="00CB2FB6"/>
    <w:rsid w:val="00CB4005"/>
    <w:rsid w:val="00CB4CBB"/>
    <w:rsid w:val="00CB5D7F"/>
    <w:rsid w:val="00CB6C33"/>
    <w:rsid w:val="00CB7EFF"/>
    <w:rsid w:val="00CC019E"/>
    <w:rsid w:val="00CC219F"/>
    <w:rsid w:val="00CC422E"/>
    <w:rsid w:val="00CC4C25"/>
    <w:rsid w:val="00CC4FD6"/>
    <w:rsid w:val="00CC5783"/>
    <w:rsid w:val="00CC59F3"/>
    <w:rsid w:val="00CC694F"/>
    <w:rsid w:val="00CC6BB0"/>
    <w:rsid w:val="00CD07DD"/>
    <w:rsid w:val="00CD08D2"/>
    <w:rsid w:val="00CD10E4"/>
    <w:rsid w:val="00CD2793"/>
    <w:rsid w:val="00CD3B49"/>
    <w:rsid w:val="00CD3E92"/>
    <w:rsid w:val="00CD465C"/>
    <w:rsid w:val="00CD4EA1"/>
    <w:rsid w:val="00CD6F4E"/>
    <w:rsid w:val="00CD724E"/>
    <w:rsid w:val="00CD76CB"/>
    <w:rsid w:val="00CD7FCA"/>
    <w:rsid w:val="00CE0974"/>
    <w:rsid w:val="00CE264C"/>
    <w:rsid w:val="00CE2BCF"/>
    <w:rsid w:val="00CE3760"/>
    <w:rsid w:val="00CE3BB6"/>
    <w:rsid w:val="00CE7329"/>
    <w:rsid w:val="00CE7785"/>
    <w:rsid w:val="00CF0BC2"/>
    <w:rsid w:val="00CF1581"/>
    <w:rsid w:val="00CF1C62"/>
    <w:rsid w:val="00CF2B4F"/>
    <w:rsid w:val="00CF3F6A"/>
    <w:rsid w:val="00CF417B"/>
    <w:rsid w:val="00CF4E66"/>
    <w:rsid w:val="00CF64C8"/>
    <w:rsid w:val="00CF73E7"/>
    <w:rsid w:val="00D00174"/>
    <w:rsid w:val="00D0166D"/>
    <w:rsid w:val="00D02DB8"/>
    <w:rsid w:val="00D04579"/>
    <w:rsid w:val="00D045FE"/>
    <w:rsid w:val="00D0511B"/>
    <w:rsid w:val="00D054E1"/>
    <w:rsid w:val="00D06227"/>
    <w:rsid w:val="00D062E0"/>
    <w:rsid w:val="00D0708F"/>
    <w:rsid w:val="00D10691"/>
    <w:rsid w:val="00D1335D"/>
    <w:rsid w:val="00D13D63"/>
    <w:rsid w:val="00D140B5"/>
    <w:rsid w:val="00D142A6"/>
    <w:rsid w:val="00D143F3"/>
    <w:rsid w:val="00D16EFB"/>
    <w:rsid w:val="00D16F53"/>
    <w:rsid w:val="00D17E1E"/>
    <w:rsid w:val="00D17E78"/>
    <w:rsid w:val="00D17E84"/>
    <w:rsid w:val="00D208D6"/>
    <w:rsid w:val="00D22FB9"/>
    <w:rsid w:val="00D2306B"/>
    <w:rsid w:val="00D2306E"/>
    <w:rsid w:val="00D242D7"/>
    <w:rsid w:val="00D24937"/>
    <w:rsid w:val="00D24FE7"/>
    <w:rsid w:val="00D31063"/>
    <w:rsid w:val="00D31248"/>
    <w:rsid w:val="00D31834"/>
    <w:rsid w:val="00D31E46"/>
    <w:rsid w:val="00D331CD"/>
    <w:rsid w:val="00D33AF4"/>
    <w:rsid w:val="00D34985"/>
    <w:rsid w:val="00D3529C"/>
    <w:rsid w:val="00D36181"/>
    <w:rsid w:val="00D362B0"/>
    <w:rsid w:val="00D36309"/>
    <w:rsid w:val="00D36563"/>
    <w:rsid w:val="00D36906"/>
    <w:rsid w:val="00D36F3A"/>
    <w:rsid w:val="00D370D9"/>
    <w:rsid w:val="00D37EEA"/>
    <w:rsid w:val="00D4087A"/>
    <w:rsid w:val="00D4090B"/>
    <w:rsid w:val="00D40A77"/>
    <w:rsid w:val="00D40D22"/>
    <w:rsid w:val="00D427D8"/>
    <w:rsid w:val="00D44436"/>
    <w:rsid w:val="00D46CC4"/>
    <w:rsid w:val="00D47474"/>
    <w:rsid w:val="00D47C8C"/>
    <w:rsid w:val="00D5176B"/>
    <w:rsid w:val="00D518D5"/>
    <w:rsid w:val="00D51B40"/>
    <w:rsid w:val="00D52432"/>
    <w:rsid w:val="00D5256F"/>
    <w:rsid w:val="00D54BFE"/>
    <w:rsid w:val="00D55C64"/>
    <w:rsid w:val="00D56AA5"/>
    <w:rsid w:val="00D56D7D"/>
    <w:rsid w:val="00D577D9"/>
    <w:rsid w:val="00D600EC"/>
    <w:rsid w:val="00D6210A"/>
    <w:rsid w:val="00D621CD"/>
    <w:rsid w:val="00D62AAF"/>
    <w:rsid w:val="00D63662"/>
    <w:rsid w:val="00D639EC"/>
    <w:rsid w:val="00D64576"/>
    <w:rsid w:val="00D64E1D"/>
    <w:rsid w:val="00D657D0"/>
    <w:rsid w:val="00D67CFE"/>
    <w:rsid w:val="00D703A1"/>
    <w:rsid w:val="00D71A2A"/>
    <w:rsid w:val="00D72901"/>
    <w:rsid w:val="00D72DAB"/>
    <w:rsid w:val="00D7360D"/>
    <w:rsid w:val="00D73EA1"/>
    <w:rsid w:val="00D7413B"/>
    <w:rsid w:val="00D75118"/>
    <w:rsid w:val="00D75D7C"/>
    <w:rsid w:val="00D76189"/>
    <w:rsid w:val="00D80585"/>
    <w:rsid w:val="00D80CFA"/>
    <w:rsid w:val="00D820E0"/>
    <w:rsid w:val="00D83611"/>
    <w:rsid w:val="00D837DF"/>
    <w:rsid w:val="00D84441"/>
    <w:rsid w:val="00D846F9"/>
    <w:rsid w:val="00D86245"/>
    <w:rsid w:val="00D86AC9"/>
    <w:rsid w:val="00D86B1C"/>
    <w:rsid w:val="00D87600"/>
    <w:rsid w:val="00D876F9"/>
    <w:rsid w:val="00D9009B"/>
    <w:rsid w:val="00D91957"/>
    <w:rsid w:val="00D91CD4"/>
    <w:rsid w:val="00D93C44"/>
    <w:rsid w:val="00D93CE4"/>
    <w:rsid w:val="00D949AD"/>
    <w:rsid w:val="00D95341"/>
    <w:rsid w:val="00D95FF5"/>
    <w:rsid w:val="00D96716"/>
    <w:rsid w:val="00DA0BAB"/>
    <w:rsid w:val="00DA16B5"/>
    <w:rsid w:val="00DA17E7"/>
    <w:rsid w:val="00DA232E"/>
    <w:rsid w:val="00DA2D58"/>
    <w:rsid w:val="00DA32F8"/>
    <w:rsid w:val="00DA38CC"/>
    <w:rsid w:val="00DA6501"/>
    <w:rsid w:val="00DA670D"/>
    <w:rsid w:val="00DA67C7"/>
    <w:rsid w:val="00DB0495"/>
    <w:rsid w:val="00DB04B9"/>
    <w:rsid w:val="00DB161F"/>
    <w:rsid w:val="00DB2644"/>
    <w:rsid w:val="00DB2762"/>
    <w:rsid w:val="00DB2ACA"/>
    <w:rsid w:val="00DB4DD2"/>
    <w:rsid w:val="00DB4FF9"/>
    <w:rsid w:val="00DB55C3"/>
    <w:rsid w:val="00DB63E6"/>
    <w:rsid w:val="00DB65A3"/>
    <w:rsid w:val="00DB75C6"/>
    <w:rsid w:val="00DC03F9"/>
    <w:rsid w:val="00DC1627"/>
    <w:rsid w:val="00DC1AE6"/>
    <w:rsid w:val="00DC3C26"/>
    <w:rsid w:val="00DC46EE"/>
    <w:rsid w:val="00DC4B79"/>
    <w:rsid w:val="00DC596E"/>
    <w:rsid w:val="00DC5C89"/>
    <w:rsid w:val="00DC6A24"/>
    <w:rsid w:val="00DC7574"/>
    <w:rsid w:val="00DC7C1B"/>
    <w:rsid w:val="00DC7D4A"/>
    <w:rsid w:val="00DD029B"/>
    <w:rsid w:val="00DD0EBD"/>
    <w:rsid w:val="00DD2034"/>
    <w:rsid w:val="00DD20C0"/>
    <w:rsid w:val="00DD26BC"/>
    <w:rsid w:val="00DD3996"/>
    <w:rsid w:val="00DD50F7"/>
    <w:rsid w:val="00DD7DCF"/>
    <w:rsid w:val="00DE02C5"/>
    <w:rsid w:val="00DE04B3"/>
    <w:rsid w:val="00DE348B"/>
    <w:rsid w:val="00DE3599"/>
    <w:rsid w:val="00DE4B67"/>
    <w:rsid w:val="00DE5339"/>
    <w:rsid w:val="00DE678D"/>
    <w:rsid w:val="00DE6D35"/>
    <w:rsid w:val="00DE7545"/>
    <w:rsid w:val="00DE7E4F"/>
    <w:rsid w:val="00DF079A"/>
    <w:rsid w:val="00DF0A52"/>
    <w:rsid w:val="00DF1700"/>
    <w:rsid w:val="00DF2B30"/>
    <w:rsid w:val="00DF48B2"/>
    <w:rsid w:val="00DF4ED8"/>
    <w:rsid w:val="00DF5C4E"/>
    <w:rsid w:val="00DF6C44"/>
    <w:rsid w:val="00E00E1F"/>
    <w:rsid w:val="00E02DBE"/>
    <w:rsid w:val="00E04D22"/>
    <w:rsid w:val="00E052CE"/>
    <w:rsid w:val="00E0561D"/>
    <w:rsid w:val="00E05D1D"/>
    <w:rsid w:val="00E05EF7"/>
    <w:rsid w:val="00E06DB2"/>
    <w:rsid w:val="00E10741"/>
    <w:rsid w:val="00E12DE8"/>
    <w:rsid w:val="00E1336A"/>
    <w:rsid w:val="00E145C8"/>
    <w:rsid w:val="00E15C48"/>
    <w:rsid w:val="00E16FA8"/>
    <w:rsid w:val="00E17BF2"/>
    <w:rsid w:val="00E20BAD"/>
    <w:rsid w:val="00E20D1E"/>
    <w:rsid w:val="00E20D8C"/>
    <w:rsid w:val="00E21712"/>
    <w:rsid w:val="00E21CAF"/>
    <w:rsid w:val="00E22111"/>
    <w:rsid w:val="00E221AB"/>
    <w:rsid w:val="00E22573"/>
    <w:rsid w:val="00E22577"/>
    <w:rsid w:val="00E23C13"/>
    <w:rsid w:val="00E23E9D"/>
    <w:rsid w:val="00E25F6B"/>
    <w:rsid w:val="00E2645C"/>
    <w:rsid w:val="00E26996"/>
    <w:rsid w:val="00E27206"/>
    <w:rsid w:val="00E274BD"/>
    <w:rsid w:val="00E27CA5"/>
    <w:rsid w:val="00E27D80"/>
    <w:rsid w:val="00E30247"/>
    <w:rsid w:val="00E30E98"/>
    <w:rsid w:val="00E33712"/>
    <w:rsid w:val="00E34BA6"/>
    <w:rsid w:val="00E34D84"/>
    <w:rsid w:val="00E37EFB"/>
    <w:rsid w:val="00E40102"/>
    <w:rsid w:val="00E40F28"/>
    <w:rsid w:val="00E41095"/>
    <w:rsid w:val="00E4218D"/>
    <w:rsid w:val="00E42699"/>
    <w:rsid w:val="00E43172"/>
    <w:rsid w:val="00E439AE"/>
    <w:rsid w:val="00E43D20"/>
    <w:rsid w:val="00E45912"/>
    <w:rsid w:val="00E47B3C"/>
    <w:rsid w:val="00E47DFE"/>
    <w:rsid w:val="00E50710"/>
    <w:rsid w:val="00E50EEF"/>
    <w:rsid w:val="00E510E0"/>
    <w:rsid w:val="00E51D5F"/>
    <w:rsid w:val="00E520FD"/>
    <w:rsid w:val="00E63E99"/>
    <w:rsid w:val="00E64713"/>
    <w:rsid w:val="00E658D5"/>
    <w:rsid w:val="00E65B1A"/>
    <w:rsid w:val="00E66A44"/>
    <w:rsid w:val="00E677B1"/>
    <w:rsid w:val="00E67C60"/>
    <w:rsid w:val="00E7089E"/>
    <w:rsid w:val="00E71EC5"/>
    <w:rsid w:val="00E72B40"/>
    <w:rsid w:val="00E72F26"/>
    <w:rsid w:val="00E75D86"/>
    <w:rsid w:val="00E7759E"/>
    <w:rsid w:val="00E816CB"/>
    <w:rsid w:val="00E82655"/>
    <w:rsid w:val="00E8438C"/>
    <w:rsid w:val="00E85F83"/>
    <w:rsid w:val="00E904C8"/>
    <w:rsid w:val="00E910C7"/>
    <w:rsid w:val="00E91600"/>
    <w:rsid w:val="00E928E3"/>
    <w:rsid w:val="00E93741"/>
    <w:rsid w:val="00E93BF6"/>
    <w:rsid w:val="00E93D48"/>
    <w:rsid w:val="00E962DC"/>
    <w:rsid w:val="00E966F0"/>
    <w:rsid w:val="00E97ABE"/>
    <w:rsid w:val="00E97F12"/>
    <w:rsid w:val="00EA3440"/>
    <w:rsid w:val="00EA39B0"/>
    <w:rsid w:val="00EA46CE"/>
    <w:rsid w:val="00EA53F3"/>
    <w:rsid w:val="00EA64BC"/>
    <w:rsid w:val="00EB0B82"/>
    <w:rsid w:val="00EB15C6"/>
    <w:rsid w:val="00EB3028"/>
    <w:rsid w:val="00EB3549"/>
    <w:rsid w:val="00EB3896"/>
    <w:rsid w:val="00EB3E92"/>
    <w:rsid w:val="00EB58DE"/>
    <w:rsid w:val="00EC194B"/>
    <w:rsid w:val="00EC1D56"/>
    <w:rsid w:val="00EC20B2"/>
    <w:rsid w:val="00EC2A56"/>
    <w:rsid w:val="00EC2C00"/>
    <w:rsid w:val="00EC3083"/>
    <w:rsid w:val="00EC3253"/>
    <w:rsid w:val="00EC4596"/>
    <w:rsid w:val="00EC513D"/>
    <w:rsid w:val="00EC58F2"/>
    <w:rsid w:val="00EC780D"/>
    <w:rsid w:val="00EC7E70"/>
    <w:rsid w:val="00ED2DF1"/>
    <w:rsid w:val="00ED4378"/>
    <w:rsid w:val="00ED5C51"/>
    <w:rsid w:val="00ED69DB"/>
    <w:rsid w:val="00ED75DD"/>
    <w:rsid w:val="00ED7AEA"/>
    <w:rsid w:val="00EE049B"/>
    <w:rsid w:val="00EE05D6"/>
    <w:rsid w:val="00EE0C63"/>
    <w:rsid w:val="00EE14CD"/>
    <w:rsid w:val="00EE19DB"/>
    <w:rsid w:val="00EE2824"/>
    <w:rsid w:val="00EE3EB7"/>
    <w:rsid w:val="00EE4AC9"/>
    <w:rsid w:val="00EE530C"/>
    <w:rsid w:val="00EE6D50"/>
    <w:rsid w:val="00EE749B"/>
    <w:rsid w:val="00EF035D"/>
    <w:rsid w:val="00EF0DA2"/>
    <w:rsid w:val="00EF1143"/>
    <w:rsid w:val="00EF13CE"/>
    <w:rsid w:val="00EF32A5"/>
    <w:rsid w:val="00EF5605"/>
    <w:rsid w:val="00EF6544"/>
    <w:rsid w:val="00EF6C56"/>
    <w:rsid w:val="00EF7858"/>
    <w:rsid w:val="00EF7FA7"/>
    <w:rsid w:val="00F00798"/>
    <w:rsid w:val="00F0198C"/>
    <w:rsid w:val="00F024E2"/>
    <w:rsid w:val="00F02A55"/>
    <w:rsid w:val="00F02C8E"/>
    <w:rsid w:val="00F04B7B"/>
    <w:rsid w:val="00F07D08"/>
    <w:rsid w:val="00F1029F"/>
    <w:rsid w:val="00F10BD8"/>
    <w:rsid w:val="00F12337"/>
    <w:rsid w:val="00F139A7"/>
    <w:rsid w:val="00F13D63"/>
    <w:rsid w:val="00F14163"/>
    <w:rsid w:val="00F1452E"/>
    <w:rsid w:val="00F145FF"/>
    <w:rsid w:val="00F148C1"/>
    <w:rsid w:val="00F14E18"/>
    <w:rsid w:val="00F1637B"/>
    <w:rsid w:val="00F1741B"/>
    <w:rsid w:val="00F17DBB"/>
    <w:rsid w:val="00F21577"/>
    <w:rsid w:val="00F24234"/>
    <w:rsid w:val="00F242AB"/>
    <w:rsid w:val="00F24592"/>
    <w:rsid w:val="00F25B54"/>
    <w:rsid w:val="00F260C2"/>
    <w:rsid w:val="00F26585"/>
    <w:rsid w:val="00F30BAC"/>
    <w:rsid w:val="00F311B6"/>
    <w:rsid w:val="00F31283"/>
    <w:rsid w:val="00F31692"/>
    <w:rsid w:val="00F32695"/>
    <w:rsid w:val="00F333BE"/>
    <w:rsid w:val="00F33C79"/>
    <w:rsid w:val="00F34C62"/>
    <w:rsid w:val="00F35203"/>
    <w:rsid w:val="00F35423"/>
    <w:rsid w:val="00F35BC4"/>
    <w:rsid w:val="00F403DA"/>
    <w:rsid w:val="00F412B7"/>
    <w:rsid w:val="00F421AC"/>
    <w:rsid w:val="00F42F71"/>
    <w:rsid w:val="00F43AEF"/>
    <w:rsid w:val="00F43FBC"/>
    <w:rsid w:val="00F4590E"/>
    <w:rsid w:val="00F468FF"/>
    <w:rsid w:val="00F46CA5"/>
    <w:rsid w:val="00F47A58"/>
    <w:rsid w:val="00F50317"/>
    <w:rsid w:val="00F5121F"/>
    <w:rsid w:val="00F51D6C"/>
    <w:rsid w:val="00F532B9"/>
    <w:rsid w:val="00F535D3"/>
    <w:rsid w:val="00F5415A"/>
    <w:rsid w:val="00F54C62"/>
    <w:rsid w:val="00F555B4"/>
    <w:rsid w:val="00F560F9"/>
    <w:rsid w:val="00F5630B"/>
    <w:rsid w:val="00F566B9"/>
    <w:rsid w:val="00F57B50"/>
    <w:rsid w:val="00F604AB"/>
    <w:rsid w:val="00F613E9"/>
    <w:rsid w:val="00F62EB1"/>
    <w:rsid w:val="00F64313"/>
    <w:rsid w:val="00F64AAF"/>
    <w:rsid w:val="00F64F16"/>
    <w:rsid w:val="00F651ED"/>
    <w:rsid w:val="00F656CD"/>
    <w:rsid w:val="00F65FC3"/>
    <w:rsid w:val="00F66052"/>
    <w:rsid w:val="00F67112"/>
    <w:rsid w:val="00F672E5"/>
    <w:rsid w:val="00F67B1C"/>
    <w:rsid w:val="00F70BBA"/>
    <w:rsid w:val="00F71770"/>
    <w:rsid w:val="00F71A92"/>
    <w:rsid w:val="00F72030"/>
    <w:rsid w:val="00F72170"/>
    <w:rsid w:val="00F73078"/>
    <w:rsid w:val="00F735E6"/>
    <w:rsid w:val="00F73A5E"/>
    <w:rsid w:val="00F74508"/>
    <w:rsid w:val="00F74CEA"/>
    <w:rsid w:val="00F74DF4"/>
    <w:rsid w:val="00F81355"/>
    <w:rsid w:val="00F84942"/>
    <w:rsid w:val="00F8764F"/>
    <w:rsid w:val="00F906CE"/>
    <w:rsid w:val="00F90F14"/>
    <w:rsid w:val="00F921A6"/>
    <w:rsid w:val="00F92F8B"/>
    <w:rsid w:val="00F9398A"/>
    <w:rsid w:val="00F94910"/>
    <w:rsid w:val="00F94D45"/>
    <w:rsid w:val="00F94F2D"/>
    <w:rsid w:val="00FA0153"/>
    <w:rsid w:val="00FA04F9"/>
    <w:rsid w:val="00FA2B90"/>
    <w:rsid w:val="00FA30B1"/>
    <w:rsid w:val="00FA3147"/>
    <w:rsid w:val="00FA3E5A"/>
    <w:rsid w:val="00FA453E"/>
    <w:rsid w:val="00FA7C9E"/>
    <w:rsid w:val="00FB0897"/>
    <w:rsid w:val="00FB0B2E"/>
    <w:rsid w:val="00FB35FD"/>
    <w:rsid w:val="00FB3BCF"/>
    <w:rsid w:val="00FB3D00"/>
    <w:rsid w:val="00FC00A4"/>
    <w:rsid w:val="00FC0B01"/>
    <w:rsid w:val="00FC19CE"/>
    <w:rsid w:val="00FC2907"/>
    <w:rsid w:val="00FC29E4"/>
    <w:rsid w:val="00FC38A4"/>
    <w:rsid w:val="00FC38F2"/>
    <w:rsid w:val="00FC4329"/>
    <w:rsid w:val="00FC43C5"/>
    <w:rsid w:val="00FC6F76"/>
    <w:rsid w:val="00FC75F6"/>
    <w:rsid w:val="00FD04A5"/>
    <w:rsid w:val="00FD0629"/>
    <w:rsid w:val="00FD0CF3"/>
    <w:rsid w:val="00FD11F0"/>
    <w:rsid w:val="00FD208D"/>
    <w:rsid w:val="00FD3779"/>
    <w:rsid w:val="00FD5208"/>
    <w:rsid w:val="00FD6D5D"/>
    <w:rsid w:val="00FD701B"/>
    <w:rsid w:val="00FD7A89"/>
    <w:rsid w:val="00FE22C4"/>
    <w:rsid w:val="00FE2C00"/>
    <w:rsid w:val="00FE32C6"/>
    <w:rsid w:val="00FE422E"/>
    <w:rsid w:val="00FE448B"/>
    <w:rsid w:val="00FE4AE1"/>
    <w:rsid w:val="00FE6F60"/>
    <w:rsid w:val="00FE7414"/>
    <w:rsid w:val="00FF06EC"/>
    <w:rsid w:val="00FF0849"/>
    <w:rsid w:val="00FF1387"/>
    <w:rsid w:val="00FF264A"/>
    <w:rsid w:val="00FF2B3B"/>
    <w:rsid w:val="00FF3428"/>
    <w:rsid w:val="00FF3F86"/>
    <w:rsid w:val="00FF546C"/>
    <w:rsid w:val="00FF59AF"/>
    <w:rsid w:val="00FF5DA6"/>
    <w:rsid w:val="00FF653F"/>
    <w:rsid w:val="00FF6553"/>
    <w:rsid w:val="00FF6F16"/>
    <w:rsid w:val="00FF7359"/>
    <w:rsid w:val="00FF7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12"/>
    <w:pPr>
      <w:ind w:left="720"/>
      <w:contextualSpacing/>
    </w:pPr>
    <w:rPr>
      <w:rFonts w:ascii="Times New Roman" w:hAnsi="Times New Roman"/>
      <w:sz w:val="24"/>
      <w:szCs w:val="20"/>
      <w:lang w:val="mk-MK"/>
    </w:rPr>
  </w:style>
  <w:style w:type="paragraph" w:styleId="Header">
    <w:name w:val="header"/>
    <w:basedOn w:val="Normal"/>
    <w:link w:val="HeaderChar"/>
    <w:uiPriority w:val="99"/>
    <w:semiHidden/>
    <w:unhideWhenUsed/>
    <w:rsid w:val="00F459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90E"/>
  </w:style>
  <w:style w:type="paragraph" w:styleId="Footer">
    <w:name w:val="footer"/>
    <w:basedOn w:val="Normal"/>
    <w:link w:val="FooterChar"/>
    <w:uiPriority w:val="99"/>
    <w:unhideWhenUsed/>
    <w:rsid w:val="00F4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90E"/>
  </w:style>
  <w:style w:type="paragraph" w:styleId="FootnoteText">
    <w:name w:val="footnote text"/>
    <w:basedOn w:val="Normal"/>
    <w:link w:val="FootnoteTextChar"/>
    <w:uiPriority w:val="99"/>
    <w:semiHidden/>
    <w:unhideWhenUsed/>
    <w:rsid w:val="00F14E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E18"/>
    <w:rPr>
      <w:sz w:val="20"/>
      <w:szCs w:val="20"/>
    </w:rPr>
  </w:style>
  <w:style w:type="character" w:styleId="FootnoteReference">
    <w:name w:val="footnote reference"/>
    <w:basedOn w:val="DefaultParagraphFont"/>
    <w:uiPriority w:val="99"/>
    <w:semiHidden/>
    <w:unhideWhenUsed/>
    <w:rsid w:val="00F14E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6992E-6990-4AF6-80AF-4DAF0C19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Vasilka Gaber</dc:creator>
  <cp:lastModifiedBy>Irina</cp:lastModifiedBy>
  <cp:revision>2</cp:revision>
  <dcterms:created xsi:type="dcterms:W3CDTF">2014-09-17T08:46:00Z</dcterms:created>
  <dcterms:modified xsi:type="dcterms:W3CDTF">2014-09-17T08:46:00Z</dcterms:modified>
</cp:coreProperties>
</file>