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84" w:rsidRPr="000C2184" w:rsidRDefault="000C2184" w:rsidP="000C2184">
      <w:pPr>
        <w:numPr>
          <w:ilvl w:val="0"/>
          <w:numId w:val="1"/>
        </w:numPr>
        <w:spacing w:before="100" w:beforeAutospacing="1" w:after="100" w:afterAutospacing="1" w:line="240" w:lineRule="auto"/>
        <w:rPr>
          <w:rFonts w:ascii="OpenSansRegular" w:eastAsia="Times New Roman" w:hAnsi="OpenSansRegular" w:cs="Helvetica"/>
          <w:vanish/>
          <w:color w:val="2D2C2C"/>
          <w:sz w:val="20"/>
          <w:szCs w:val="20"/>
          <w:lang w:val="en" w:eastAsia="mk-MK"/>
        </w:rPr>
      </w:pPr>
      <w:r w:rsidRPr="000C2184">
        <w:rPr>
          <w:rFonts w:ascii="OpenSansRegular" w:eastAsia="Times New Roman" w:hAnsi="OpenSansRegular" w:cs="Helvetica"/>
          <w:noProof/>
          <w:vanish/>
          <w:color w:val="2389DD"/>
          <w:sz w:val="20"/>
          <w:szCs w:val="20"/>
          <w:lang w:eastAsia="mk-MK"/>
        </w:rPr>
        <w:drawing>
          <wp:inline distT="0" distB="0" distL="0" distR="0" wp14:anchorId="687CE076" wp14:editId="4D5B0291">
            <wp:extent cx="1238250" cy="304800"/>
            <wp:effectExtent l="0" t="0" r="0" b="0"/>
            <wp:docPr id="1" name="Picture 1" descr="publishing technology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ublishing technology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p>
    <w:p w:rsidR="000C2184" w:rsidRPr="000C2184" w:rsidRDefault="000C2184" w:rsidP="000C2184">
      <w:pPr>
        <w:spacing w:before="100" w:beforeAutospacing="1" w:after="100" w:afterAutospacing="1" w:line="240" w:lineRule="auto"/>
        <w:ind w:left="360"/>
        <w:rPr>
          <w:rFonts w:ascii="OpenSansRegular" w:eastAsia="Times New Roman" w:hAnsi="OpenSansRegular" w:cs="Helvetica"/>
          <w:vanish/>
          <w:color w:val="2D2C2C"/>
          <w:sz w:val="20"/>
          <w:szCs w:val="20"/>
          <w:lang w:val="en" w:eastAsia="mk-MK"/>
        </w:rPr>
      </w:pPr>
    </w:p>
    <w:p w:rsidR="000C2184" w:rsidRPr="000C2184" w:rsidRDefault="000C2184" w:rsidP="000C2184">
      <w:pPr>
        <w:numPr>
          <w:ilvl w:val="0"/>
          <w:numId w:val="2"/>
        </w:numPr>
        <w:spacing w:before="100" w:beforeAutospacing="1" w:after="100" w:afterAutospacing="1" w:line="240" w:lineRule="auto"/>
        <w:rPr>
          <w:rFonts w:ascii="OpenSansRegular" w:eastAsia="Times New Roman" w:hAnsi="OpenSansRegular" w:cs="Helvetica"/>
          <w:vanish/>
          <w:color w:val="2D2C2C"/>
          <w:sz w:val="20"/>
          <w:szCs w:val="20"/>
          <w:lang w:val="en" w:eastAsia="mk-MK"/>
        </w:rPr>
      </w:pPr>
    </w:p>
    <w:p w:rsidR="000C2184" w:rsidRPr="000C2184" w:rsidRDefault="000C2184" w:rsidP="000C2184">
      <w:pPr>
        <w:pBdr>
          <w:bottom w:val="single" w:sz="6" w:space="1" w:color="auto"/>
        </w:pBdr>
        <w:spacing w:after="0" w:line="240" w:lineRule="auto"/>
        <w:jc w:val="center"/>
        <w:rPr>
          <w:rFonts w:ascii="Arial" w:eastAsia="Times New Roman" w:hAnsi="Arial" w:cs="Arial"/>
          <w:vanish/>
          <w:sz w:val="16"/>
          <w:szCs w:val="16"/>
          <w:lang w:eastAsia="mk-MK"/>
        </w:rPr>
      </w:pPr>
      <w:r w:rsidRPr="000C2184">
        <w:rPr>
          <w:rFonts w:ascii="Arial" w:eastAsia="Times New Roman" w:hAnsi="Arial" w:cs="Arial"/>
          <w:vanish/>
          <w:sz w:val="16"/>
          <w:szCs w:val="16"/>
          <w:lang w:eastAsia="mk-MK"/>
        </w:rPr>
        <w:t>Top of Form</w:t>
      </w:r>
    </w:p>
    <w:p w:rsidR="000C2184" w:rsidRPr="000C2184" w:rsidRDefault="000C2184" w:rsidP="000C2184">
      <w:pPr>
        <w:spacing w:after="0" w:line="240" w:lineRule="auto"/>
        <w:ind w:left="-225" w:right="-225"/>
        <w:rPr>
          <w:rFonts w:ascii="OpenSansRegular" w:eastAsia="Times New Roman" w:hAnsi="OpenSansRegular" w:cs="Helvetica"/>
          <w:vanish/>
          <w:color w:val="2D2C2C"/>
          <w:sz w:val="20"/>
          <w:szCs w:val="20"/>
          <w:lang w:val="en" w:eastAsia="mk-MK"/>
        </w:rPr>
      </w:pPr>
      <w:r w:rsidRPr="000C2184">
        <w:rPr>
          <w:rFonts w:ascii="OpenSansRegular" w:eastAsia="Times New Roman" w:hAnsi="OpenSansRegular" w:cs="Helvetica"/>
          <w:vanish/>
          <w:color w:val="2D2C2C"/>
          <w:sz w:val="20"/>
          <w:szCs w:val="20"/>
          <w:lang w:val="en" w:eastAsia="mk-M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in;height:18pt" o:ole="">
            <v:imagedata r:id="rId7" o:title=""/>
          </v:shape>
          <w:control r:id="rId8" w:name="DefaultOcxName" w:shapeid="_x0000_i1113"/>
        </w:object>
      </w:r>
      <w:r w:rsidRPr="000C2184">
        <w:rPr>
          <w:rFonts w:ascii="OpenSansRegular" w:eastAsia="Times New Roman" w:hAnsi="OpenSansRegular" w:cs="Helvetica"/>
          <w:vanish/>
          <w:color w:val="2D2C2C"/>
          <w:sz w:val="20"/>
          <w:szCs w:val="20"/>
          <w:lang w:val="en" w:eastAsia="mk-MK"/>
        </w:rPr>
        <w:object w:dxaOrig="1440" w:dyaOrig="1440">
          <v:shape id="_x0000_i1112" type="#_x0000_t75" style="width:1in;height:18pt" o:ole="">
            <v:imagedata r:id="rId9" o:title=""/>
          </v:shape>
          <w:control r:id="rId10" w:name="DefaultOcxName1" w:shapeid="_x0000_i1112"/>
        </w:object>
      </w:r>
      <w:r w:rsidRPr="000C2184">
        <w:rPr>
          <w:rFonts w:ascii="OpenSansRegular" w:eastAsia="Times New Roman" w:hAnsi="OpenSansRegular" w:cs="Helvetica"/>
          <w:vanish/>
          <w:color w:val="2D2C2C"/>
          <w:sz w:val="20"/>
          <w:szCs w:val="20"/>
          <w:lang w:val="en" w:eastAsia="mk-MK"/>
        </w:rPr>
        <w:object w:dxaOrig="1440" w:dyaOrig="1440">
          <v:shape id="_x0000_i1111" type="#_x0000_t75" style="width:1in;height:18pt" o:ole="">
            <v:imagedata r:id="rId11" o:title=""/>
          </v:shape>
          <w:control r:id="rId12" w:name="DefaultOcxName2" w:shapeid="_x0000_i1111"/>
        </w:object>
      </w:r>
    </w:p>
    <w:p w:rsidR="000C2184" w:rsidRPr="000C2184" w:rsidRDefault="000C2184" w:rsidP="000C2184">
      <w:pPr>
        <w:spacing w:line="240" w:lineRule="auto"/>
        <w:ind w:left="-225" w:right="-225"/>
        <w:rPr>
          <w:rFonts w:ascii="OpenSansRegular" w:eastAsia="Times New Roman" w:hAnsi="OpenSansRegular" w:cs="Helvetica"/>
          <w:vanish/>
          <w:color w:val="2D2C2C"/>
          <w:sz w:val="20"/>
          <w:szCs w:val="20"/>
          <w:lang w:val="en" w:eastAsia="mk-MK"/>
        </w:rPr>
      </w:pPr>
      <w:r w:rsidRPr="000C2184">
        <w:rPr>
          <w:rFonts w:ascii="OpenSansRegular" w:eastAsia="Times New Roman" w:hAnsi="OpenSansRegular" w:cs="Helvetica"/>
          <w:vanish/>
          <w:color w:val="2D2C2C"/>
          <w:sz w:val="20"/>
          <w:szCs w:val="20"/>
          <w:lang w:val="en" w:eastAsia="mk-MK"/>
        </w:rPr>
        <w:t xml:space="preserve">Search </w:t>
      </w:r>
      <w:r w:rsidRPr="000C2184">
        <w:rPr>
          <w:rFonts w:ascii="OpenSansRegular" w:eastAsia="Times New Roman" w:hAnsi="OpenSansRegular" w:cs="Helvetica"/>
          <w:vanish/>
          <w:color w:val="2D2C2C"/>
          <w:sz w:val="20"/>
          <w:szCs w:val="20"/>
          <w:lang w:val="en" w:eastAsia="mk-MK"/>
        </w:rPr>
        <w:object w:dxaOrig="1440" w:dyaOrig="1440">
          <v:shape id="_x0000_i1151" type="#_x0000_t75" style="width:84pt;height:18pt" o:ole="">
            <v:imagedata r:id="rId13" o:title=""/>
          </v:shape>
          <w:control r:id="rId14" w:name="DefaultOcxName3" w:shapeid="_x0000_i1151"/>
        </w:object>
      </w:r>
    </w:p>
    <w:p w:rsidR="000C2184" w:rsidRPr="000C2184" w:rsidRDefault="000C2184" w:rsidP="000C2184">
      <w:pPr>
        <w:spacing w:after="0" w:line="240" w:lineRule="auto"/>
        <w:ind w:left="-225" w:right="-225"/>
        <w:textAlignment w:val="center"/>
        <w:rPr>
          <w:rFonts w:ascii="OpenSansRegular" w:eastAsia="Times New Roman" w:hAnsi="OpenSansRegular" w:cs="Helvetica"/>
          <w:vanish/>
          <w:color w:val="2D2C2C"/>
          <w:sz w:val="20"/>
          <w:szCs w:val="20"/>
          <w:lang w:val="en" w:eastAsia="mk-MK"/>
        </w:rPr>
      </w:pPr>
      <w:r w:rsidRPr="000C2184">
        <w:rPr>
          <w:rFonts w:ascii="OpenSansRegular" w:eastAsia="Times New Roman" w:hAnsi="OpenSansRegular" w:cs="Helvetica"/>
          <w:vanish/>
          <w:color w:val="2D2C2C"/>
          <w:sz w:val="20"/>
          <w:szCs w:val="20"/>
          <w:lang w:val="en" w:eastAsia="mk-MK"/>
        </w:rPr>
        <w:t xml:space="preserve">Search by </w:t>
      </w:r>
    </w:p>
    <w:p w:rsidR="000C2184" w:rsidRPr="000C2184" w:rsidRDefault="000C2184" w:rsidP="000C2184">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right="-225"/>
        <w:textAlignment w:val="center"/>
        <w:rPr>
          <w:rFonts w:ascii="OpenSansRegular" w:eastAsia="Times New Roman" w:hAnsi="OpenSansRegular" w:cs="Helvetica"/>
          <w:vanish/>
          <w:color w:val="2D2C2C"/>
          <w:sz w:val="21"/>
          <w:szCs w:val="21"/>
          <w:lang w:val="en" w:eastAsia="mk-MK"/>
        </w:rPr>
      </w:pPr>
      <w:hyperlink r:id="rId15" w:history="1">
        <w:r w:rsidRPr="000C2184">
          <w:rPr>
            <w:rFonts w:ascii="OpenSansRegular" w:eastAsia="Times New Roman" w:hAnsi="OpenSansRegular" w:cs="Helvetica"/>
            <w:vanish/>
            <w:color w:val="2389DD"/>
            <w:sz w:val="21"/>
            <w:szCs w:val="21"/>
            <w:lang w:val="en" w:eastAsia="mk-MK"/>
          </w:rPr>
          <w:t>Article title, keywords or abstract</w:t>
        </w:r>
      </w:hyperlink>
    </w:p>
    <w:p w:rsidR="000C2184" w:rsidRPr="000C2184" w:rsidRDefault="000C2184" w:rsidP="000C2184">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right="-225"/>
        <w:textAlignment w:val="center"/>
        <w:rPr>
          <w:rFonts w:ascii="OpenSansRegular" w:eastAsia="Times New Roman" w:hAnsi="OpenSansRegular" w:cs="Helvetica"/>
          <w:vanish/>
          <w:color w:val="2D2C2C"/>
          <w:sz w:val="21"/>
          <w:szCs w:val="21"/>
          <w:lang w:val="en" w:eastAsia="mk-MK"/>
        </w:rPr>
      </w:pPr>
      <w:hyperlink r:id="rId16" w:history="1">
        <w:r w:rsidRPr="000C2184">
          <w:rPr>
            <w:rFonts w:ascii="OpenSansRegular" w:eastAsia="Times New Roman" w:hAnsi="OpenSansRegular" w:cs="Helvetica"/>
            <w:vanish/>
            <w:color w:val="2389DD"/>
            <w:sz w:val="21"/>
            <w:szCs w:val="21"/>
            <w:lang w:val="en" w:eastAsia="mk-MK"/>
          </w:rPr>
          <w:t>Article title</w:t>
        </w:r>
      </w:hyperlink>
    </w:p>
    <w:p w:rsidR="000C2184" w:rsidRPr="000C2184" w:rsidRDefault="000C2184" w:rsidP="000C2184">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right="-225"/>
        <w:textAlignment w:val="center"/>
        <w:rPr>
          <w:rFonts w:ascii="OpenSansRegular" w:eastAsia="Times New Roman" w:hAnsi="OpenSansRegular" w:cs="Helvetica"/>
          <w:vanish/>
          <w:color w:val="2D2C2C"/>
          <w:sz w:val="21"/>
          <w:szCs w:val="21"/>
          <w:lang w:val="en" w:eastAsia="mk-MK"/>
        </w:rPr>
      </w:pPr>
      <w:hyperlink r:id="rId17" w:history="1">
        <w:r w:rsidRPr="000C2184">
          <w:rPr>
            <w:rFonts w:ascii="OpenSansRegular" w:eastAsia="Times New Roman" w:hAnsi="OpenSansRegular" w:cs="Helvetica"/>
            <w:vanish/>
            <w:color w:val="2389DD"/>
            <w:sz w:val="21"/>
            <w:szCs w:val="21"/>
            <w:lang w:val="en" w:eastAsia="mk-MK"/>
          </w:rPr>
          <w:t>Publication title</w:t>
        </w:r>
      </w:hyperlink>
    </w:p>
    <w:p w:rsidR="000C2184" w:rsidRPr="000C2184" w:rsidRDefault="000C2184" w:rsidP="000C2184">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right="-225"/>
        <w:textAlignment w:val="center"/>
        <w:rPr>
          <w:rFonts w:ascii="OpenSansRegular" w:eastAsia="Times New Roman" w:hAnsi="OpenSansRegular" w:cs="Helvetica"/>
          <w:vanish/>
          <w:color w:val="2D2C2C"/>
          <w:sz w:val="21"/>
          <w:szCs w:val="21"/>
          <w:lang w:val="en" w:eastAsia="mk-MK"/>
        </w:rPr>
      </w:pPr>
      <w:hyperlink r:id="rId18" w:history="1">
        <w:r w:rsidRPr="000C2184">
          <w:rPr>
            <w:rFonts w:ascii="OpenSansRegular" w:eastAsia="Times New Roman" w:hAnsi="OpenSansRegular" w:cs="Helvetica"/>
            <w:vanish/>
            <w:color w:val="2389DD"/>
            <w:sz w:val="21"/>
            <w:szCs w:val="21"/>
            <w:lang w:val="en" w:eastAsia="mk-MK"/>
          </w:rPr>
          <w:t>Author</w:t>
        </w:r>
      </w:hyperlink>
    </w:p>
    <w:p w:rsidR="000C2184" w:rsidRPr="000C2184" w:rsidRDefault="000C2184" w:rsidP="000C2184">
      <w:pPr>
        <w:numPr>
          <w:ilvl w:val="0"/>
          <w:numId w:val="4"/>
        </w:numPr>
        <w:spacing w:before="100" w:beforeAutospacing="1" w:after="100" w:afterAutospacing="1" w:line="240" w:lineRule="auto"/>
        <w:ind w:left="495" w:right="-225"/>
        <w:rPr>
          <w:rFonts w:ascii="OpenSansRegular" w:eastAsia="Times New Roman" w:hAnsi="OpenSansRegular" w:cs="Helvetica"/>
          <w:vanish/>
          <w:color w:val="2D2C2C"/>
          <w:sz w:val="20"/>
          <w:szCs w:val="20"/>
          <w:lang w:val="en" w:eastAsia="mk-MK"/>
        </w:rPr>
      </w:pPr>
      <w:hyperlink r:id="rId19" w:history="1">
        <w:r w:rsidRPr="000C2184">
          <w:rPr>
            <w:rFonts w:ascii="OpenSansRegular" w:eastAsia="Times New Roman" w:hAnsi="OpenSansRegular" w:cs="Helvetica"/>
            <w:vanish/>
            <w:color w:val="2389DD"/>
            <w:sz w:val="20"/>
            <w:szCs w:val="20"/>
            <w:lang w:val="en" w:eastAsia="mk-MK"/>
          </w:rPr>
          <w:t xml:space="preserve">Advanced </w:t>
        </w:r>
        <w:r w:rsidRPr="000C2184">
          <w:rPr>
            <w:rFonts w:ascii="OpenSansRegular" w:eastAsia="Times New Roman" w:hAnsi="OpenSansRegular" w:cs="Helvetica"/>
            <w:vanish/>
            <w:color w:val="2389DD"/>
            <w:sz w:val="20"/>
            <w:szCs w:val="20"/>
            <w:lang w:val="en" w:eastAsia="mk-MK"/>
          </w:rPr>
          <w:br/>
          <w:t>Search</w:t>
        </w:r>
      </w:hyperlink>
    </w:p>
    <w:p w:rsidR="000C2184" w:rsidRPr="000C2184" w:rsidRDefault="000C2184" w:rsidP="000C2184">
      <w:pPr>
        <w:pBdr>
          <w:top w:val="single" w:sz="6" w:space="1" w:color="auto"/>
        </w:pBdr>
        <w:spacing w:after="0" w:line="240" w:lineRule="auto"/>
        <w:jc w:val="center"/>
        <w:rPr>
          <w:rFonts w:ascii="Arial" w:eastAsia="Times New Roman" w:hAnsi="Arial" w:cs="Arial"/>
          <w:vanish/>
          <w:sz w:val="16"/>
          <w:szCs w:val="16"/>
          <w:lang w:eastAsia="mk-MK"/>
        </w:rPr>
      </w:pPr>
      <w:r w:rsidRPr="000C2184">
        <w:rPr>
          <w:rFonts w:ascii="Arial" w:eastAsia="Times New Roman" w:hAnsi="Arial" w:cs="Arial"/>
          <w:vanish/>
          <w:sz w:val="16"/>
          <w:szCs w:val="16"/>
          <w:lang w:eastAsia="mk-MK"/>
        </w:rPr>
        <w:t>Bottom of Form</w:t>
      </w:r>
    </w:p>
    <w:p w:rsidR="000C2184" w:rsidRPr="000C2184" w:rsidRDefault="000C2184" w:rsidP="000C2184">
      <w:pPr>
        <w:numPr>
          <w:ilvl w:val="0"/>
          <w:numId w:val="5"/>
        </w:numPr>
        <w:spacing w:before="100" w:beforeAutospacing="1" w:after="100" w:afterAutospacing="1" w:line="240" w:lineRule="auto"/>
        <w:rPr>
          <w:rFonts w:ascii="OpenSansRegular" w:eastAsia="Times New Roman" w:hAnsi="OpenSansRegular" w:cs="Helvetica"/>
          <w:vanish/>
          <w:color w:val="2D2C2C"/>
          <w:sz w:val="20"/>
          <w:szCs w:val="20"/>
          <w:lang w:val="en" w:eastAsia="mk-MK"/>
        </w:rPr>
      </w:pPr>
    </w:p>
    <w:p w:rsidR="000C2184" w:rsidRPr="000C2184" w:rsidRDefault="000C2184" w:rsidP="000C2184">
      <w:pPr>
        <w:spacing w:after="135" w:line="240" w:lineRule="auto"/>
        <w:rPr>
          <w:rFonts w:ascii="OpenSansRegular" w:eastAsia="Times New Roman" w:hAnsi="OpenSansRegular" w:cs="Helvetica"/>
          <w:color w:val="2D2C2C"/>
          <w:sz w:val="18"/>
          <w:szCs w:val="18"/>
          <w:lang w:val="en" w:eastAsia="mk-MK"/>
        </w:rPr>
      </w:pPr>
      <w:hyperlink r:id="rId20" w:history="1">
        <w:r w:rsidRPr="000C2184">
          <w:rPr>
            <w:rFonts w:ascii="OpenSansRegular" w:eastAsia="Times New Roman" w:hAnsi="OpenSansRegular" w:cs="Helvetica"/>
            <w:color w:val="2389DD"/>
            <w:sz w:val="28"/>
            <w:szCs w:val="28"/>
            <w:lang w:val="en" w:eastAsia="mk-MK"/>
          </w:rPr>
          <w:t xml:space="preserve">Die </w:t>
        </w:r>
        <w:proofErr w:type="spellStart"/>
        <w:r w:rsidRPr="000C2184">
          <w:rPr>
            <w:rFonts w:ascii="OpenSansRegular" w:eastAsia="Times New Roman" w:hAnsi="OpenSansRegular" w:cs="Helvetica"/>
            <w:color w:val="2389DD"/>
            <w:sz w:val="28"/>
            <w:szCs w:val="28"/>
            <w:lang w:val="en" w:eastAsia="mk-MK"/>
          </w:rPr>
          <w:t>Pharmazie</w:t>
        </w:r>
        <w:proofErr w:type="spellEnd"/>
        <w:r w:rsidRPr="000C2184">
          <w:rPr>
            <w:rFonts w:ascii="OpenSansRegular" w:eastAsia="Times New Roman" w:hAnsi="OpenSansRegular" w:cs="Helvetica"/>
            <w:color w:val="2389DD"/>
            <w:sz w:val="28"/>
            <w:szCs w:val="28"/>
            <w:lang w:val="en" w:eastAsia="mk-MK"/>
          </w:rPr>
          <w:t xml:space="preserve"> - An International Journal of Pharmaceutical Sciences</w:t>
        </w:r>
      </w:hyperlink>
      <w:r w:rsidRPr="000C2184">
        <w:rPr>
          <w:rFonts w:ascii="OpenSansRegular" w:eastAsia="Times New Roman" w:hAnsi="OpenSansRegular" w:cs="Helvetica"/>
          <w:color w:val="2D2C2C"/>
          <w:sz w:val="28"/>
          <w:szCs w:val="28"/>
          <w:lang w:val="en" w:eastAsia="mk-MK"/>
        </w:rPr>
        <w:t>, Volume 70, </w:t>
      </w:r>
      <w:proofErr w:type="gramStart"/>
      <w:r w:rsidRPr="000C2184">
        <w:rPr>
          <w:rFonts w:ascii="OpenSansRegular" w:eastAsia="Times New Roman" w:hAnsi="OpenSansRegular" w:cs="Helvetica"/>
          <w:color w:val="2D2C2C"/>
          <w:sz w:val="28"/>
          <w:szCs w:val="28"/>
          <w:lang w:val="en" w:eastAsia="mk-MK"/>
        </w:rPr>
        <w:t>Number</w:t>
      </w:r>
      <w:proofErr w:type="gramEnd"/>
      <w:r w:rsidRPr="000C2184">
        <w:rPr>
          <w:rFonts w:ascii="OpenSansRegular" w:eastAsia="Times New Roman" w:hAnsi="OpenSansRegular" w:cs="Helvetica"/>
          <w:color w:val="2D2C2C"/>
          <w:sz w:val="28"/>
          <w:szCs w:val="28"/>
          <w:lang w:val="en" w:eastAsia="mk-MK"/>
        </w:rPr>
        <w:t xml:space="preserve"> 7</w:t>
      </w:r>
      <w:r w:rsidRPr="000C2184">
        <w:rPr>
          <w:rFonts w:ascii="OpenSansRegular" w:eastAsia="Times New Roman" w:hAnsi="OpenSansRegular" w:cs="Helvetica"/>
          <w:color w:val="2D2C2C"/>
          <w:sz w:val="18"/>
          <w:szCs w:val="18"/>
          <w:lang w:val="en" w:eastAsia="mk-MK"/>
        </w:rPr>
        <w:t xml:space="preserve"> </w:t>
      </w:r>
    </w:p>
    <w:p w:rsidR="000C2184" w:rsidRPr="000C2184" w:rsidRDefault="000C2184" w:rsidP="000C2184">
      <w:pPr>
        <w:spacing w:line="240" w:lineRule="auto"/>
        <w:rPr>
          <w:rFonts w:ascii="OpenSansRegular" w:eastAsia="Times New Roman" w:hAnsi="OpenSansRegular" w:cs="Helvetica"/>
          <w:color w:val="2D2C2C"/>
          <w:sz w:val="20"/>
          <w:szCs w:val="20"/>
          <w:lang w:val="en" w:eastAsia="mk-MK"/>
        </w:rPr>
      </w:pPr>
      <w:bookmarkStart w:id="0" w:name="top"/>
      <w:bookmarkEnd w:id="0"/>
      <w:r w:rsidRPr="000C2184">
        <w:rPr>
          <w:rFonts w:ascii="OpenSansRegular" w:eastAsia="Times New Roman" w:hAnsi="OpenSansRegular" w:cs="Helvetica"/>
          <w:noProof/>
          <w:color w:val="2D2C2C"/>
          <w:sz w:val="20"/>
          <w:szCs w:val="20"/>
          <w:lang w:eastAsia="mk-MK"/>
        </w:rPr>
        <w:drawing>
          <wp:inline distT="0" distB="0" distL="0" distR="0" wp14:anchorId="251DEC61" wp14:editId="17350C0C">
            <wp:extent cx="952500" cy="1343025"/>
            <wp:effectExtent l="0" t="0" r="0" b="9525"/>
            <wp:docPr id="2" name="Picture 2"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inline>
        </w:drawing>
      </w:r>
    </w:p>
    <w:p w:rsidR="000C2184" w:rsidRPr="000C2184" w:rsidRDefault="000C2184" w:rsidP="000C2184">
      <w:pPr>
        <w:spacing w:before="300" w:after="150" w:line="240" w:lineRule="auto"/>
        <w:textAlignment w:val="top"/>
        <w:outlineLvl w:val="1"/>
        <w:rPr>
          <w:rFonts w:ascii="inherit" w:eastAsia="Times New Roman" w:hAnsi="inherit" w:cs="Helvetica"/>
          <w:color w:val="2D2C2C"/>
          <w:kern w:val="36"/>
          <w:sz w:val="45"/>
          <w:szCs w:val="45"/>
          <w:lang w:val="en" w:eastAsia="mk-MK"/>
        </w:rPr>
      </w:pPr>
      <w:r w:rsidRPr="000C2184">
        <w:rPr>
          <w:rFonts w:ascii="inherit" w:eastAsia="Times New Roman" w:hAnsi="inherit" w:cs="Helvetica"/>
          <w:color w:val="2D2C2C"/>
          <w:kern w:val="36"/>
          <w:sz w:val="45"/>
          <w:szCs w:val="45"/>
          <w:lang w:val="en" w:eastAsia="mk-MK"/>
        </w:rPr>
        <w:t xml:space="preserve">Effects of single nucleotide polymorphisms and haplotypes of the </w:t>
      </w:r>
      <w:r w:rsidRPr="000C2184">
        <w:rPr>
          <w:rFonts w:ascii="inherit" w:eastAsia="Times New Roman" w:hAnsi="inherit" w:cs="Helvetica"/>
          <w:i/>
          <w:iCs/>
          <w:color w:val="2D2C2C"/>
          <w:kern w:val="36"/>
          <w:sz w:val="45"/>
          <w:szCs w:val="45"/>
          <w:lang w:val="en" w:eastAsia="mk-MK"/>
        </w:rPr>
        <w:t>SLCO1B1</w:t>
      </w:r>
      <w:r w:rsidRPr="000C2184">
        <w:rPr>
          <w:rFonts w:ascii="inherit" w:eastAsia="Times New Roman" w:hAnsi="inherit" w:cs="Helvetica"/>
          <w:color w:val="2D2C2C"/>
          <w:kern w:val="36"/>
          <w:sz w:val="45"/>
          <w:szCs w:val="45"/>
          <w:lang w:val="en" w:eastAsia="mk-MK"/>
        </w:rPr>
        <w:t xml:space="preserve"> gene on the pharmacokinetic profile of atorvastatin in healthy Macedonian volunteers </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b/>
          <w:bCs/>
          <w:color w:val="2D2C2C"/>
          <w:sz w:val="24"/>
          <w:szCs w:val="24"/>
          <w:lang w:val="en" w:eastAsia="mk-MK"/>
        </w:rPr>
        <w:t xml:space="preserve">Authors: </w:t>
      </w:r>
      <w:proofErr w:type="spellStart"/>
      <w:r w:rsidRPr="000C2184">
        <w:rPr>
          <w:rFonts w:ascii="OpenSansRegular" w:eastAsia="Times New Roman" w:hAnsi="OpenSansRegular" w:cs="Helvetica"/>
          <w:color w:val="2D2C2C"/>
          <w:sz w:val="24"/>
          <w:szCs w:val="24"/>
          <w:lang w:val="en" w:eastAsia="mk-MK"/>
        </w:rPr>
        <w:t>Daka</w:t>
      </w:r>
      <w:proofErr w:type="spellEnd"/>
      <w:r w:rsidRPr="000C2184">
        <w:rPr>
          <w:rFonts w:ascii="OpenSansRegular" w:eastAsia="Times New Roman" w:hAnsi="OpenSansRegular" w:cs="Helvetica"/>
          <w:color w:val="2D2C2C"/>
          <w:sz w:val="24"/>
          <w:szCs w:val="24"/>
          <w:lang w:val="en" w:eastAsia="mk-MK"/>
        </w:rPr>
        <w:t>, A.; </w:t>
      </w:r>
      <w:proofErr w:type="spellStart"/>
      <w:r w:rsidRPr="000C2184">
        <w:rPr>
          <w:rFonts w:ascii="OpenSansRegular" w:eastAsia="Times New Roman" w:hAnsi="OpenSansRegular" w:cs="Helvetica"/>
          <w:color w:val="2D2C2C"/>
          <w:sz w:val="24"/>
          <w:szCs w:val="24"/>
          <w:lang w:val="en" w:eastAsia="mk-MK"/>
        </w:rPr>
        <w:t>Dimovski</w:t>
      </w:r>
      <w:proofErr w:type="spellEnd"/>
      <w:r w:rsidRPr="000C2184">
        <w:rPr>
          <w:rFonts w:ascii="OpenSansRegular" w:eastAsia="Times New Roman" w:hAnsi="OpenSansRegular" w:cs="Helvetica"/>
          <w:color w:val="2D2C2C"/>
          <w:sz w:val="24"/>
          <w:szCs w:val="24"/>
          <w:lang w:val="en" w:eastAsia="mk-MK"/>
        </w:rPr>
        <w:t>, A.; </w:t>
      </w:r>
      <w:proofErr w:type="spellStart"/>
      <w:r w:rsidRPr="000C2184">
        <w:rPr>
          <w:rFonts w:ascii="OpenSansRegular" w:eastAsia="Times New Roman" w:hAnsi="OpenSansRegular" w:cs="Helvetica"/>
          <w:color w:val="2D2C2C"/>
          <w:sz w:val="24"/>
          <w:szCs w:val="24"/>
          <w:lang w:val="en" w:eastAsia="mk-MK"/>
        </w:rPr>
        <w:t>Kapedanovska</w:t>
      </w:r>
      <w:proofErr w:type="spellEnd"/>
      <w:r w:rsidRPr="000C2184">
        <w:rPr>
          <w:rFonts w:ascii="OpenSansRegular" w:eastAsia="Times New Roman" w:hAnsi="OpenSansRegular" w:cs="Helvetica"/>
          <w:color w:val="2D2C2C"/>
          <w:sz w:val="24"/>
          <w:szCs w:val="24"/>
          <w:lang w:val="en" w:eastAsia="mk-MK"/>
        </w:rPr>
        <w:t>, A.; Vavlukis, M.; </w:t>
      </w:r>
      <w:proofErr w:type="spellStart"/>
      <w:r w:rsidRPr="000C2184">
        <w:rPr>
          <w:rFonts w:ascii="OpenSansRegular" w:eastAsia="Times New Roman" w:hAnsi="OpenSansRegular" w:cs="Helvetica"/>
          <w:color w:val="2D2C2C"/>
          <w:sz w:val="24"/>
          <w:szCs w:val="24"/>
          <w:lang w:val="en" w:eastAsia="mk-MK"/>
        </w:rPr>
        <w:t>Eftimov</w:t>
      </w:r>
      <w:proofErr w:type="spellEnd"/>
      <w:r w:rsidRPr="000C2184">
        <w:rPr>
          <w:rFonts w:ascii="OpenSansRegular" w:eastAsia="Times New Roman" w:hAnsi="OpenSansRegular" w:cs="Helvetica"/>
          <w:color w:val="2D2C2C"/>
          <w:sz w:val="24"/>
          <w:szCs w:val="24"/>
          <w:lang w:val="en" w:eastAsia="mk-MK"/>
        </w:rPr>
        <w:t>, A.; </w:t>
      </w:r>
      <w:proofErr w:type="spellStart"/>
      <w:r w:rsidRPr="000C2184">
        <w:rPr>
          <w:rFonts w:ascii="OpenSansRegular" w:eastAsia="Times New Roman" w:hAnsi="OpenSansRegular" w:cs="Helvetica"/>
          <w:color w:val="2D2C2C"/>
          <w:sz w:val="24"/>
          <w:szCs w:val="24"/>
          <w:lang w:val="en" w:eastAsia="mk-MK"/>
        </w:rPr>
        <w:t>Labachevski</w:t>
      </w:r>
      <w:proofErr w:type="spellEnd"/>
      <w:r w:rsidRPr="000C2184">
        <w:rPr>
          <w:rFonts w:ascii="OpenSansRegular" w:eastAsia="Times New Roman" w:hAnsi="OpenSansRegular" w:cs="Helvetica"/>
          <w:color w:val="2D2C2C"/>
          <w:sz w:val="24"/>
          <w:szCs w:val="24"/>
          <w:lang w:val="en" w:eastAsia="mk-MK"/>
        </w:rPr>
        <w:t>, N.; </w:t>
      </w:r>
      <w:proofErr w:type="spellStart"/>
      <w:r w:rsidRPr="000C2184">
        <w:rPr>
          <w:rFonts w:ascii="OpenSansRegular" w:eastAsia="Times New Roman" w:hAnsi="OpenSansRegular" w:cs="Helvetica"/>
          <w:color w:val="2D2C2C"/>
          <w:sz w:val="24"/>
          <w:szCs w:val="24"/>
          <w:lang w:val="en" w:eastAsia="mk-MK"/>
        </w:rPr>
        <w:t>Jakjovski</w:t>
      </w:r>
      <w:proofErr w:type="spellEnd"/>
      <w:r w:rsidRPr="000C2184">
        <w:rPr>
          <w:rFonts w:ascii="OpenSansRegular" w:eastAsia="Times New Roman" w:hAnsi="OpenSansRegular" w:cs="Helvetica"/>
          <w:color w:val="2D2C2C"/>
          <w:sz w:val="24"/>
          <w:szCs w:val="24"/>
          <w:lang w:val="en" w:eastAsia="mk-MK"/>
        </w:rPr>
        <w:t>, K.; </w:t>
      </w:r>
      <w:proofErr w:type="spellStart"/>
      <w:r w:rsidRPr="000C2184">
        <w:rPr>
          <w:rFonts w:ascii="OpenSansRegular" w:eastAsia="Times New Roman" w:hAnsi="OpenSansRegular" w:cs="Helvetica"/>
          <w:color w:val="2D2C2C"/>
          <w:sz w:val="24"/>
          <w:szCs w:val="24"/>
          <w:lang w:val="en" w:eastAsia="mk-MK"/>
        </w:rPr>
        <w:t>Geshkovska</w:t>
      </w:r>
      <w:proofErr w:type="spellEnd"/>
      <w:r w:rsidRPr="000C2184">
        <w:rPr>
          <w:rFonts w:ascii="OpenSansRegular" w:eastAsia="Times New Roman" w:hAnsi="OpenSansRegular" w:cs="Helvetica"/>
          <w:color w:val="2D2C2C"/>
          <w:sz w:val="24"/>
          <w:szCs w:val="24"/>
          <w:lang w:val="en" w:eastAsia="mk-MK"/>
        </w:rPr>
        <w:t xml:space="preserve">, N. </w:t>
      </w:r>
      <w:proofErr w:type="spellStart"/>
      <w:r w:rsidRPr="000C2184">
        <w:rPr>
          <w:rFonts w:ascii="OpenSansRegular" w:eastAsia="Times New Roman" w:hAnsi="OpenSansRegular" w:cs="Helvetica"/>
          <w:color w:val="2D2C2C"/>
          <w:sz w:val="24"/>
          <w:szCs w:val="24"/>
          <w:lang w:val="en" w:eastAsia="mk-MK"/>
        </w:rPr>
        <w:t>Matevska</w:t>
      </w:r>
      <w:proofErr w:type="spellEnd"/>
      <w:r w:rsidRPr="000C2184">
        <w:rPr>
          <w:rFonts w:ascii="OpenSansRegular" w:eastAsia="Times New Roman" w:hAnsi="OpenSansRegular" w:cs="Helvetica"/>
          <w:color w:val="2D2C2C"/>
          <w:sz w:val="24"/>
          <w:szCs w:val="24"/>
          <w:lang w:val="en" w:eastAsia="mk-MK"/>
        </w:rPr>
        <w:t>; </w:t>
      </w:r>
      <w:proofErr w:type="spellStart"/>
      <w:r w:rsidRPr="000C2184">
        <w:rPr>
          <w:rFonts w:ascii="OpenSansRegular" w:eastAsia="Times New Roman" w:hAnsi="OpenSansRegular" w:cs="Helvetica"/>
          <w:color w:val="2D2C2C"/>
          <w:sz w:val="24"/>
          <w:szCs w:val="24"/>
          <w:lang w:val="en" w:eastAsia="mk-MK"/>
        </w:rPr>
        <w:t>Nebija</w:t>
      </w:r>
      <w:proofErr w:type="spellEnd"/>
      <w:r w:rsidRPr="000C2184">
        <w:rPr>
          <w:rFonts w:ascii="OpenSansRegular" w:eastAsia="Times New Roman" w:hAnsi="OpenSansRegular" w:cs="Helvetica"/>
          <w:color w:val="2D2C2C"/>
          <w:sz w:val="24"/>
          <w:szCs w:val="24"/>
          <w:lang w:val="en" w:eastAsia="mk-MK"/>
        </w:rPr>
        <w:t>, D.; </w:t>
      </w:r>
      <w:proofErr w:type="spellStart"/>
      <w:r w:rsidRPr="000C2184">
        <w:rPr>
          <w:rFonts w:ascii="OpenSansRegular" w:eastAsia="Times New Roman" w:hAnsi="OpenSansRegular" w:cs="Helvetica"/>
          <w:color w:val="2D2C2C"/>
          <w:sz w:val="24"/>
          <w:szCs w:val="24"/>
          <w:lang w:val="en" w:eastAsia="mk-MK"/>
        </w:rPr>
        <w:t>Mladenovska</w:t>
      </w:r>
      <w:proofErr w:type="spellEnd"/>
      <w:r w:rsidRPr="000C2184">
        <w:rPr>
          <w:rFonts w:ascii="OpenSansRegular" w:eastAsia="Times New Roman" w:hAnsi="OpenSansRegular" w:cs="Helvetica"/>
          <w:color w:val="2D2C2C"/>
          <w:sz w:val="24"/>
          <w:szCs w:val="24"/>
          <w:lang w:val="en" w:eastAsia="mk-MK"/>
        </w:rPr>
        <w:t>, K.</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b/>
          <w:bCs/>
          <w:color w:val="2D2C2C"/>
          <w:sz w:val="24"/>
          <w:szCs w:val="24"/>
          <w:lang w:val="en" w:eastAsia="mk-MK"/>
        </w:rPr>
        <w:t>Source:</w:t>
      </w:r>
      <w:r w:rsidRPr="000C2184">
        <w:rPr>
          <w:rFonts w:ascii="OpenSansRegular" w:eastAsia="Times New Roman" w:hAnsi="OpenSansRegular" w:cs="Helvetica"/>
          <w:color w:val="2D2C2C"/>
          <w:sz w:val="24"/>
          <w:szCs w:val="24"/>
          <w:lang w:val="en" w:eastAsia="mk-MK"/>
        </w:rPr>
        <w:t xml:space="preserve"> </w:t>
      </w:r>
      <w:hyperlink r:id="rId22" w:history="1">
        <w:r w:rsidRPr="000C2184">
          <w:rPr>
            <w:rFonts w:ascii="OpenSansRegular" w:eastAsia="Times New Roman" w:hAnsi="OpenSansRegular" w:cs="Helvetica"/>
            <w:color w:val="2389DD"/>
            <w:sz w:val="24"/>
            <w:szCs w:val="24"/>
            <w:lang w:val="en" w:eastAsia="mk-MK"/>
          </w:rPr>
          <w:t xml:space="preserve">Die </w:t>
        </w:r>
        <w:proofErr w:type="spellStart"/>
        <w:r w:rsidRPr="000C2184">
          <w:rPr>
            <w:rFonts w:ascii="OpenSansRegular" w:eastAsia="Times New Roman" w:hAnsi="OpenSansRegular" w:cs="Helvetica"/>
            <w:color w:val="2389DD"/>
            <w:sz w:val="24"/>
            <w:szCs w:val="24"/>
            <w:lang w:val="en" w:eastAsia="mk-MK"/>
          </w:rPr>
          <w:t>Pharmazie</w:t>
        </w:r>
        <w:proofErr w:type="spellEnd"/>
        <w:r w:rsidRPr="000C2184">
          <w:rPr>
            <w:rFonts w:ascii="OpenSansRegular" w:eastAsia="Times New Roman" w:hAnsi="OpenSansRegular" w:cs="Helvetica"/>
            <w:color w:val="2389DD"/>
            <w:sz w:val="24"/>
            <w:szCs w:val="24"/>
            <w:lang w:val="en" w:eastAsia="mk-MK"/>
          </w:rPr>
          <w:t xml:space="preserve"> - An International Journal of Pharmaceutical Sciences</w:t>
        </w:r>
      </w:hyperlink>
      <w:r w:rsidRPr="000C2184">
        <w:rPr>
          <w:rFonts w:ascii="OpenSansRegular" w:eastAsia="Times New Roman" w:hAnsi="OpenSansRegular" w:cs="Helvetica"/>
          <w:color w:val="2D2C2C"/>
          <w:sz w:val="24"/>
          <w:szCs w:val="24"/>
          <w:lang w:val="en" w:eastAsia="mk-MK"/>
        </w:rPr>
        <w:t>, Volume 70, Number 7, July 2015, pp. 480-488(9)</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b/>
          <w:bCs/>
          <w:color w:val="2D2C2C"/>
          <w:sz w:val="24"/>
          <w:szCs w:val="24"/>
          <w:lang w:val="en" w:eastAsia="mk-MK"/>
        </w:rPr>
        <w:t xml:space="preserve">Publisher: </w:t>
      </w:r>
      <w:hyperlink r:id="rId23" w:tooltip="publisher" w:history="1">
        <w:proofErr w:type="spellStart"/>
        <w:r w:rsidRPr="000C2184">
          <w:rPr>
            <w:rFonts w:ascii="OpenSansRegular" w:eastAsia="Times New Roman" w:hAnsi="OpenSansRegular" w:cs="Helvetica"/>
            <w:color w:val="2389DD"/>
            <w:sz w:val="24"/>
            <w:szCs w:val="24"/>
            <w:lang w:val="en" w:eastAsia="mk-MK"/>
          </w:rPr>
          <w:t>Govi-Verlag</w:t>
        </w:r>
        <w:proofErr w:type="spellEnd"/>
      </w:hyperlink>
    </w:p>
    <w:p w:rsidR="000C2184" w:rsidRPr="000C2184" w:rsidRDefault="000C2184" w:rsidP="000C2184">
      <w:pPr>
        <w:spacing w:before="300" w:after="150" w:line="240" w:lineRule="auto"/>
        <w:outlineLvl w:val="2"/>
        <w:rPr>
          <w:rFonts w:ascii="inherit" w:eastAsia="Times New Roman" w:hAnsi="inherit" w:cs="Helvetica"/>
          <w:color w:val="2D2C2C"/>
          <w:sz w:val="24"/>
          <w:szCs w:val="24"/>
          <w:lang w:val="en" w:eastAsia="mk-MK"/>
        </w:rPr>
      </w:pPr>
      <w:bookmarkStart w:id="1" w:name="avail"/>
      <w:bookmarkEnd w:id="1"/>
      <w:r w:rsidRPr="000C2184">
        <w:rPr>
          <w:rFonts w:ascii="inherit" w:eastAsia="Times New Roman" w:hAnsi="inherit" w:cs="Helvetica"/>
          <w:color w:val="2D2C2C"/>
          <w:sz w:val="24"/>
          <w:szCs w:val="24"/>
          <w:lang w:val="en" w:eastAsia="mk-MK"/>
        </w:rPr>
        <w:t>Abstract:</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color w:val="2D2C2C"/>
          <w:sz w:val="24"/>
          <w:szCs w:val="24"/>
          <w:lang w:val="en" w:eastAsia="mk-MK"/>
        </w:rPr>
        <w:t xml:space="preserve">OATP1B1 is an influx transporter known to mediate the uptake of various endogenous compounds and </w:t>
      </w:r>
      <w:proofErr w:type="spellStart"/>
      <w:r w:rsidRPr="000C2184">
        <w:rPr>
          <w:rFonts w:ascii="OpenSansRegular" w:eastAsia="Times New Roman" w:hAnsi="OpenSansRegular" w:cs="Helvetica"/>
          <w:color w:val="2D2C2C"/>
          <w:sz w:val="24"/>
          <w:szCs w:val="24"/>
          <w:lang w:val="en" w:eastAsia="mk-MK"/>
        </w:rPr>
        <w:t>xenobiotics</w:t>
      </w:r>
      <w:proofErr w:type="spellEnd"/>
      <w:r w:rsidRPr="000C2184">
        <w:rPr>
          <w:rFonts w:ascii="OpenSansRegular" w:eastAsia="Times New Roman" w:hAnsi="OpenSansRegular" w:cs="Helvetica"/>
          <w:color w:val="2D2C2C"/>
          <w:sz w:val="24"/>
          <w:szCs w:val="24"/>
          <w:lang w:val="en" w:eastAsia="mk-MK"/>
        </w:rPr>
        <w:t xml:space="preserve">. Several sequence variations have been discovered in the </w:t>
      </w:r>
      <w:r w:rsidRPr="000C2184">
        <w:rPr>
          <w:rFonts w:ascii="OpenSansRegular" w:eastAsia="Times New Roman" w:hAnsi="OpenSansRegular" w:cs="Helvetica"/>
          <w:i/>
          <w:iCs/>
          <w:color w:val="2D2C2C"/>
          <w:sz w:val="24"/>
          <w:szCs w:val="24"/>
          <w:lang w:val="en" w:eastAsia="mk-MK"/>
        </w:rPr>
        <w:t>SLCO1B1</w:t>
      </w:r>
      <w:r w:rsidRPr="000C2184">
        <w:rPr>
          <w:rFonts w:ascii="OpenSansRegular" w:eastAsia="Times New Roman" w:hAnsi="OpenSansRegular" w:cs="Helvetica"/>
          <w:color w:val="2D2C2C"/>
          <w:sz w:val="24"/>
          <w:szCs w:val="24"/>
          <w:lang w:val="en" w:eastAsia="mk-MK"/>
        </w:rPr>
        <w:t xml:space="preserve"> gene encoding OATP1B1. The aim of this study was to investigate the effects of </w:t>
      </w:r>
      <w:r w:rsidRPr="000C2184">
        <w:rPr>
          <w:rFonts w:ascii="OpenSansRegular" w:eastAsia="Times New Roman" w:hAnsi="OpenSansRegular" w:cs="Helvetica"/>
          <w:i/>
          <w:iCs/>
          <w:color w:val="2D2C2C"/>
          <w:sz w:val="24"/>
          <w:szCs w:val="24"/>
          <w:lang w:val="en" w:eastAsia="mk-MK"/>
        </w:rPr>
        <w:t>SLCO1B1</w:t>
      </w:r>
      <w:r w:rsidRPr="000C2184">
        <w:rPr>
          <w:rFonts w:ascii="OpenSansRegular" w:eastAsia="Times New Roman" w:hAnsi="OpenSansRegular" w:cs="Helvetica"/>
          <w:color w:val="2D2C2C"/>
          <w:sz w:val="24"/>
          <w:szCs w:val="24"/>
          <w:lang w:val="en" w:eastAsia="mk-MK"/>
        </w:rPr>
        <w:t xml:space="preserve"> polymorphisms on the pharmacokinetics of atorvastatin in healthy volunteers of Macedonian origin. Twenty three participants, genotyped for </w:t>
      </w:r>
      <w:r w:rsidRPr="000C2184">
        <w:rPr>
          <w:rFonts w:ascii="OpenSansRegular" w:eastAsia="Times New Roman" w:hAnsi="OpenSansRegular" w:cs="Helvetica"/>
          <w:i/>
          <w:iCs/>
          <w:color w:val="2D2C2C"/>
          <w:sz w:val="24"/>
          <w:szCs w:val="24"/>
          <w:lang w:val="en" w:eastAsia="mk-MK"/>
        </w:rPr>
        <w:t>SLCO1B1</w:t>
      </w:r>
      <w:r w:rsidRPr="000C2184">
        <w:rPr>
          <w:rFonts w:ascii="OpenSansRegular" w:eastAsia="Times New Roman" w:hAnsi="OpenSansRegular" w:cs="Helvetica"/>
          <w:color w:val="2D2C2C"/>
          <w:sz w:val="24"/>
          <w:szCs w:val="24"/>
          <w:lang w:val="en" w:eastAsia="mk-MK"/>
        </w:rPr>
        <w:t xml:space="preserve"> c.388A &gt; G, c.521T &gt; C, c.571T &gt; C, c.597C &gt; T, c.1086C &gt; T, c.1463G &gt; C and c.*439T &gt; G polymorphisms using </w:t>
      </w:r>
      <w:proofErr w:type="spellStart"/>
      <w:r w:rsidRPr="000C2184">
        <w:rPr>
          <w:rFonts w:ascii="OpenSansRegular" w:eastAsia="Times New Roman" w:hAnsi="OpenSansRegular" w:cs="Helvetica"/>
          <w:color w:val="2D2C2C"/>
          <w:sz w:val="24"/>
          <w:szCs w:val="24"/>
          <w:lang w:val="en" w:eastAsia="mk-MK"/>
        </w:rPr>
        <w:t>TaqMan</w:t>
      </w:r>
      <w:proofErr w:type="spellEnd"/>
      <w:r w:rsidRPr="000C2184">
        <w:rPr>
          <w:rFonts w:ascii="OpenSansRegular" w:eastAsia="Times New Roman" w:hAnsi="OpenSansRegular" w:cs="Helvetica"/>
          <w:color w:val="2D2C2C"/>
          <w:sz w:val="24"/>
          <w:szCs w:val="24"/>
          <w:lang w:val="en" w:eastAsia="mk-MK"/>
        </w:rPr>
        <w:t xml:space="preserve"> allelic discrimination assay, ingested a single 80 mg dose of atorvastatin. The plasma concentrations of atorvastatin were measured for 48 h using Tandem Liquid Chromatography-Mass Spectrometry, LC-MS-MS, and the peak plasma concentration (</w:t>
      </w:r>
      <w:proofErr w:type="spellStart"/>
      <w:r w:rsidRPr="000C2184">
        <w:rPr>
          <w:rFonts w:ascii="OpenSansRegular" w:eastAsia="Times New Roman" w:hAnsi="OpenSansRegular" w:cs="Helvetica"/>
          <w:color w:val="2D2C2C"/>
          <w:sz w:val="24"/>
          <w:szCs w:val="24"/>
          <w:lang w:val="en" w:eastAsia="mk-MK"/>
        </w:rPr>
        <w:t>C</w:t>
      </w:r>
      <w:r w:rsidRPr="000C2184">
        <w:rPr>
          <w:rFonts w:ascii="OpenSansRegular" w:eastAsia="Times New Roman" w:hAnsi="OpenSansRegular" w:cs="Helvetica"/>
          <w:color w:val="2D2C2C"/>
          <w:sz w:val="24"/>
          <w:szCs w:val="24"/>
          <w:vertAlign w:val="subscript"/>
          <w:lang w:val="en" w:eastAsia="mk-MK"/>
        </w:rPr>
        <w:t>max</w:t>
      </w:r>
      <w:proofErr w:type="spellEnd"/>
      <w:r w:rsidRPr="000C2184">
        <w:rPr>
          <w:rFonts w:ascii="OpenSansRegular" w:eastAsia="Times New Roman" w:hAnsi="OpenSansRegular" w:cs="Helvetica"/>
          <w:color w:val="2D2C2C"/>
          <w:sz w:val="24"/>
          <w:szCs w:val="24"/>
          <w:lang w:val="en" w:eastAsia="mk-MK"/>
        </w:rPr>
        <w:t>), time to peak plasma concentration (</w:t>
      </w:r>
      <w:proofErr w:type="spellStart"/>
      <w:r w:rsidRPr="000C2184">
        <w:rPr>
          <w:rFonts w:ascii="OpenSansRegular" w:eastAsia="Times New Roman" w:hAnsi="OpenSansRegular" w:cs="Helvetica"/>
          <w:color w:val="2D2C2C"/>
          <w:sz w:val="24"/>
          <w:szCs w:val="24"/>
          <w:lang w:val="en" w:eastAsia="mk-MK"/>
        </w:rPr>
        <w:t>T</w:t>
      </w:r>
      <w:r w:rsidRPr="000C2184">
        <w:rPr>
          <w:rFonts w:ascii="OpenSansRegular" w:eastAsia="Times New Roman" w:hAnsi="OpenSansRegular" w:cs="Helvetica"/>
          <w:color w:val="2D2C2C"/>
          <w:sz w:val="24"/>
          <w:szCs w:val="24"/>
          <w:vertAlign w:val="subscript"/>
          <w:lang w:val="en" w:eastAsia="mk-MK"/>
        </w:rPr>
        <w:t>max</w:t>
      </w:r>
      <w:proofErr w:type="spellEnd"/>
      <w:r w:rsidRPr="000C2184">
        <w:rPr>
          <w:rFonts w:ascii="OpenSansRegular" w:eastAsia="Times New Roman" w:hAnsi="OpenSansRegular" w:cs="Helvetica"/>
          <w:color w:val="2D2C2C"/>
          <w:sz w:val="24"/>
          <w:szCs w:val="24"/>
          <w:lang w:val="en" w:eastAsia="mk-MK"/>
        </w:rPr>
        <w:t>), elimination half-life (t</w:t>
      </w:r>
      <w:r w:rsidRPr="000C2184">
        <w:rPr>
          <w:rFonts w:ascii="OpenSansRegular" w:eastAsia="Times New Roman" w:hAnsi="OpenSansRegular" w:cs="Helvetica"/>
          <w:color w:val="2D2C2C"/>
          <w:sz w:val="24"/>
          <w:szCs w:val="24"/>
          <w:vertAlign w:val="subscript"/>
          <w:lang w:val="en" w:eastAsia="mk-MK"/>
        </w:rPr>
        <w:t>1/2</w:t>
      </w:r>
      <w:r w:rsidRPr="000C2184">
        <w:rPr>
          <w:rFonts w:ascii="OpenSansRegular" w:eastAsia="Times New Roman" w:hAnsi="OpenSansRegular" w:cs="Helvetica"/>
          <w:color w:val="2D2C2C"/>
          <w:sz w:val="24"/>
          <w:szCs w:val="24"/>
          <w:lang w:val="en" w:eastAsia="mk-MK"/>
        </w:rPr>
        <w:t>), constant rate of elimination (</w:t>
      </w:r>
      <w:proofErr w:type="spellStart"/>
      <w:r w:rsidRPr="000C2184">
        <w:rPr>
          <w:rFonts w:ascii="OpenSansRegular" w:eastAsia="Times New Roman" w:hAnsi="OpenSansRegular" w:cs="Helvetica"/>
          <w:color w:val="2D2C2C"/>
          <w:sz w:val="24"/>
          <w:szCs w:val="24"/>
          <w:lang w:val="en" w:eastAsia="mk-MK"/>
        </w:rPr>
        <w:t>k</w:t>
      </w:r>
      <w:r w:rsidRPr="000C2184">
        <w:rPr>
          <w:rFonts w:ascii="OpenSansRegular" w:eastAsia="Times New Roman" w:hAnsi="OpenSansRegular" w:cs="Helvetica"/>
          <w:color w:val="2D2C2C"/>
          <w:sz w:val="24"/>
          <w:szCs w:val="24"/>
          <w:vertAlign w:val="subscript"/>
          <w:lang w:val="en" w:eastAsia="mk-MK"/>
        </w:rPr>
        <w:t>el</w:t>
      </w:r>
      <w:proofErr w:type="spellEnd"/>
      <w:r w:rsidRPr="000C2184">
        <w:rPr>
          <w:rFonts w:ascii="OpenSansRegular" w:eastAsia="Times New Roman" w:hAnsi="OpenSansRegular" w:cs="Helvetica"/>
          <w:color w:val="2D2C2C"/>
          <w:sz w:val="24"/>
          <w:szCs w:val="24"/>
          <w:lang w:val="en" w:eastAsia="mk-MK"/>
        </w:rPr>
        <w:t>), mean residence time (MRT, expo), volume of distribution (</w:t>
      </w:r>
      <w:proofErr w:type="spellStart"/>
      <w:r w:rsidRPr="000C2184">
        <w:rPr>
          <w:rFonts w:ascii="OpenSansRegular" w:eastAsia="Times New Roman" w:hAnsi="OpenSansRegular" w:cs="Helvetica"/>
          <w:color w:val="2D2C2C"/>
          <w:sz w:val="24"/>
          <w:szCs w:val="24"/>
          <w:lang w:val="en" w:eastAsia="mk-MK"/>
        </w:rPr>
        <w:t>Vd</w:t>
      </w:r>
      <w:proofErr w:type="spellEnd"/>
      <w:r w:rsidRPr="000C2184">
        <w:rPr>
          <w:rFonts w:ascii="OpenSansRegular" w:eastAsia="Times New Roman" w:hAnsi="OpenSansRegular" w:cs="Helvetica"/>
          <w:color w:val="2D2C2C"/>
          <w:sz w:val="24"/>
          <w:szCs w:val="24"/>
          <w:lang w:val="en" w:eastAsia="mk-MK"/>
        </w:rPr>
        <w:t>/kg), clearance (CL/kg), area under curve AUC</w:t>
      </w:r>
      <w:r w:rsidRPr="000C2184">
        <w:rPr>
          <w:rFonts w:ascii="OpenSansRegular" w:eastAsia="Times New Roman" w:hAnsi="OpenSansRegular" w:cs="Helvetica"/>
          <w:color w:val="2D2C2C"/>
          <w:sz w:val="24"/>
          <w:szCs w:val="24"/>
          <w:vertAlign w:val="subscript"/>
          <w:lang w:val="en" w:eastAsia="mk-MK"/>
        </w:rPr>
        <w:t>0-48h</w:t>
      </w:r>
      <w:r w:rsidRPr="000C2184">
        <w:rPr>
          <w:rFonts w:ascii="OpenSansRegular" w:eastAsia="Times New Roman" w:hAnsi="OpenSansRegular" w:cs="Helvetica"/>
          <w:color w:val="2D2C2C"/>
          <w:sz w:val="24"/>
          <w:szCs w:val="24"/>
          <w:lang w:val="en" w:eastAsia="mk-MK"/>
        </w:rPr>
        <w:t xml:space="preserve"> and AUC</w:t>
      </w:r>
      <w:r w:rsidRPr="000C2184">
        <w:rPr>
          <w:rFonts w:ascii="OpenSansRegular" w:eastAsia="Times New Roman" w:hAnsi="OpenSansRegular" w:cs="Helvetica"/>
          <w:color w:val="2D2C2C"/>
          <w:sz w:val="24"/>
          <w:szCs w:val="24"/>
          <w:vertAlign w:val="subscript"/>
          <w:lang w:val="en" w:eastAsia="mk-MK"/>
        </w:rPr>
        <w:t>0-∞</w:t>
      </w:r>
      <w:r w:rsidRPr="000C2184">
        <w:rPr>
          <w:rFonts w:ascii="OpenSansRegular" w:eastAsia="Times New Roman" w:hAnsi="OpenSansRegular" w:cs="Helvetica"/>
          <w:color w:val="2D2C2C"/>
          <w:sz w:val="24"/>
          <w:szCs w:val="24"/>
          <w:lang w:val="en" w:eastAsia="mk-MK"/>
        </w:rPr>
        <w:t xml:space="preserve"> were determined. Our data confirmed that the </w:t>
      </w:r>
      <w:r w:rsidRPr="000C2184">
        <w:rPr>
          <w:rFonts w:ascii="OpenSansRegular" w:eastAsia="Times New Roman" w:hAnsi="OpenSansRegular" w:cs="Helvetica"/>
          <w:i/>
          <w:iCs/>
          <w:color w:val="2D2C2C"/>
          <w:sz w:val="24"/>
          <w:szCs w:val="24"/>
          <w:lang w:val="en" w:eastAsia="mk-MK"/>
        </w:rPr>
        <w:t>SLCO1B1</w:t>
      </w:r>
      <w:r w:rsidRPr="000C2184">
        <w:rPr>
          <w:rFonts w:ascii="OpenSansRegular" w:eastAsia="Times New Roman" w:hAnsi="OpenSansRegular" w:cs="Helvetica"/>
          <w:color w:val="2D2C2C"/>
          <w:sz w:val="24"/>
          <w:szCs w:val="24"/>
          <w:lang w:val="en" w:eastAsia="mk-MK"/>
        </w:rPr>
        <w:t xml:space="preserve"> gene is highly polymorphic, with a frequency of the c.521T &gt; C single-nucleotide polymorphism (SNP) being the lowest (app. 15%) and of all other SNPs alleles above 40%. Exceptions were c.1463G &gt; C and c.1086C &gt; T SNPs for which variant alleles were not identified. The strongest correlation was observed between the c.521T &gt; C and c.571T &gt; C SNPs pair. The haplotype analysis revealed 10 different haplotypes, with </w:t>
      </w:r>
      <w:r w:rsidRPr="000C2184">
        <w:rPr>
          <w:rFonts w:ascii="OpenSansRegular" w:eastAsia="Times New Roman" w:hAnsi="OpenSansRegular" w:cs="Helvetica"/>
          <w:i/>
          <w:iCs/>
          <w:color w:val="2D2C2C"/>
          <w:sz w:val="24"/>
          <w:szCs w:val="24"/>
          <w:lang w:val="en" w:eastAsia="mk-MK"/>
        </w:rPr>
        <w:t>*1J/*1K/*1L</w:t>
      </w:r>
      <w:r w:rsidRPr="000C2184">
        <w:rPr>
          <w:rFonts w:ascii="OpenSansRegular" w:eastAsia="Times New Roman" w:hAnsi="OpenSansRegular" w:cs="Helvetica"/>
          <w:color w:val="2D2C2C"/>
          <w:sz w:val="24"/>
          <w:szCs w:val="24"/>
          <w:lang w:val="en" w:eastAsia="mk-MK"/>
        </w:rPr>
        <w:t xml:space="preserve"> being the dominant, with a frequency of app. 40%. The haplotype </w:t>
      </w:r>
      <w:r w:rsidRPr="000C2184">
        <w:rPr>
          <w:rFonts w:ascii="OpenSansRegular" w:eastAsia="Times New Roman" w:hAnsi="OpenSansRegular" w:cs="Helvetica"/>
          <w:i/>
          <w:iCs/>
          <w:color w:val="2D2C2C"/>
          <w:sz w:val="24"/>
          <w:szCs w:val="24"/>
          <w:lang w:val="en" w:eastAsia="mk-MK"/>
        </w:rPr>
        <w:t>*15/*16/*17</w:t>
      </w:r>
      <w:r w:rsidRPr="000C2184">
        <w:rPr>
          <w:rFonts w:ascii="OpenSansRegular" w:eastAsia="Times New Roman" w:hAnsi="OpenSansRegular" w:cs="Helvetica"/>
          <w:color w:val="2D2C2C"/>
          <w:sz w:val="24"/>
          <w:szCs w:val="24"/>
          <w:lang w:val="en" w:eastAsia="mk-MK"/>
        </w:rPr>
        <w:t xml:space="preserve">, containing both variant alleles of the functionally most distinguished SNPs, c.388A &gt; G and c.521T &gt; C, occurred with a frequency of 13%. However, </w:t>
      </w:r>
      <w:r w:rsidRPr="000C2184">
        <w:rPr>
          <w:rFonts w:ascii="OpenSansRegular" w:eastAsia="Times New Roman" w:hAnsi="OpenSansRegular" w:cs="Helvetica"/>
          <w:i/>
          <w:iCs/>
          <w:color w:val="2D2C2C"/>
          <w:sz w:val="24"/>
          <w:szCs w:val="24"/>
          <w:lang w:val="en" w:eastAsia="mk-MK"/>
        </w:rPr>
        <w:t>*15/*16/*17</w:t>
      </w:r>
      <w:r w:rsidRPr="000C2184">
        <w:rPr>
          <w:rFonts w:ascii="OpenSansRegular" w:eastAsia="Times New Roman" w:hAnsi="OpenSansRegular" w:cs="Helvetica"/>
          <w:color w:val="2D2C2C"/>
          <w:sz w:val="24"/>
          <w:szCs w:val="24"/>
          <w:lang w:val="en" w:eastAsia="mk-MK"/>
        </w:rPr>
        <w:t xml:space="preserve"> homozygotes were not identified in the study group. In this study, no significant differences in the </w:t>
      </w:r>
      <w:proofErr w:type="spellStart"/>
      <w:r w:rsidRPr="000C2184">
        <w:rPr>
          <w:rFonts w:ascii="OpenSansRegular" w:eastAsia="Times New Roman" w:hAnsi="OpenSansRegular" w:cs="Helvetica"/>
          <w:color w:val="2D2C2C"/>
          <w:sz w:val="24"/>
          <w:szCs w:val="24"/>
          <w:lang w:val="en" w:eastAsia="mk-MK"/>
        </w:rPr>
        <w:t>k</w:t>
      </w:r>
      <w:r w:rsidRPr="000C2184">
        <w:rPr>
          <w:rFonts w:ascii="OpenSansRegular" w:eastAsia="Times New Roman" w:hAnsi="OpenSansRegular" w:cs="Helvetica"/>
          <w:color w:val="2D2C2C"/>
          <w:sz w:val="24"/>
          <w:szCs w:val="24"/>
          <w:vertAlign w:val="subscript"/>
          <w:lang w:val="en" w:eastAsia="mk-MK"/>
        </w:rPr>
        <w:t>el</w:t>
      </w:r>
      <w:proofErr w:type="spellEnd"/>
      <w:r w:rsidRPr="000C2184">
        <w:rPr>
          <w:rFonts w:ascii="OpenSansRegular" w:eastAsia="Times New Roman" w:hAnsi="OpenSansRegular" w:cs="Helvetica"/>
          <w:color w:val="2D2C2C"/>
          <w:sz w:val="24"/>
          <w:szCs w:val="24"/>
          <w:lang w:val="en" w:eastAsia="mk-MK"/>
        </w:rPr>
        <w:t>, t</w:t>
      </w:r>
      <w:r w:rsidRPr="000C2184">
        <w:rPr>
          <w:rFonts w:ascii="OpenSansRegular" w:eastAsia="Times New Roman" w:hAnsi="OpenSansRegular" w:cs="Helvetica"/>
          <w:color w:val="2D2C2C"/>
          <w:sz w:val="24"/>
          <w:szCs w:val="24"/>
          <w:vertAlign w:val="subscript"/>
          <w:lang w:val="en" w:eastAsia="mk-MK"/>
        </w:rPr>
        <w:t>1/2</w:t>
      </w:r>
      <w:r w:rsidRPr="000C2184">
        <w:rPr>
          <w:rFonts w:ascii="OpenSansRegular" w:eastAsia="Times New Roman" w:hAnsi="OpenSansRegular" w:cs="Helvetica"/>
          <w:color w:val="2D2C2C"/>
          <w:sz w:val="24"/>
          <w:szCs w:val="24"/>
          <w:lang w:val="en" w:eastAsia="mk-MK"/>
        </w:rPr>
        <w:t xml:space="preserve">, </w:t>
      </w:r>
      <w:proofErr w:type="spellStart"/>
      <w:r w:rsidRPr="000C2184">
        <w:rPr>
          <w:rFonts w:ascii="OpenSansRegular" w:eastAsia="Times New Roman" w:hAnsi="OpenSansRegular" w:cs="Helvetica"/>
          <w:color w:val="2D2C2C"/>
          <w:sz w:val="24"/>
          <w:szCs w:val="24"/>
          <w:lang w:val="en" w:eastAsia="mk-MK"/>
        </w:rPr>
        <w:t>C</w:t>
      </w:r>
      <w:r w:rsidRPr="000C2184">
        <w:rPr>
          <w:rFonts w:ascii="OpenSansRegular" w:eastAsia="Times New Roman" w:hAnsi="OpenSansRegular" w:cs="Helvetica"/>
          <w:color w:val="2D2C2C"/>
          <w:sz w:val="24"/>
          <w:szCs w:val="24"/>
          <w:vertAlign w:val="subscript"/>
          <w:lang w:val="en" w:eastAsia="mk-MK"/>
        </w:rPr>
        <w:t>max</w:t>
      </w:r>
      <w:proofErr w:type="spellEnd"/>
      <w:r w:rsidRPr="000C2184">
        <w:rPr>
          <w:rFonts w:ascii="OpenSansRegular" w:eastAsia="Times New Roman" w:hAnsi="OpenSansRegular" w:cs="Helvetica"/>
          <w:color w:val="2D2C2C"/>
          <w:sz w:val="24"/>
          <w:szCs w:val="24"/>
          <w:lang w:val="en" w:eastAsia="mk-MK"/>
        </w:rPr>
        <w:t xml:space="preserve">, </w:t>
      </w:r>
      <w:proofErr w:type="spellStart"/>
      <w:r w:rsidRPr="000C2184">
        <w:rPr>
          <w:rFonts w:ascii="OpenSansRegular" w:eastAsia="Times New Roman" w:hAnsi="OpenSansRegular" w:cs="Helvetica"/>
          <w:color w:val="2D2C2C"/>
          <w:sz w:val="24"/>
          <w:szCs w:val="24"/>
          <w:lang w:val="en" w:eastAsia="mk-MK"/>
        </w:rPr>
        <w:t>T</w:t>
      </w:r>
      <w:r w:rsidRPr="000C2184">
        <w:rPr>
          <w:rFonts w:ascii="OpenSansRegular" w:eastAsia="Times New Roman" w:hAnsi="OpenSansRegular" w:cs="Helvetica"/>
          <w:color w:val="2D2C2C"/>
          <w:sz w:val="24"/>
          <w:szCs w:val="24"/>
          <w:vertAlign w:val="subscript"/>
          <w:lang w:val="en" w:eastAsia="mk-MK"/>
        </w:rPr>
        <w:t>max</w:t>
      </w:r>
      <w:proofErr w:type="spellEnd"/>
      <w:r w:rsidRPr="000C2184">
        <w:rPr>
          <w:rFonts w:ascii="OpenSansRegular" w:eastAsia="Times New Roman" w:hAnsi="OpenSansRegular" w:cs="Helvetica"/>
          <w:color w:val="2D2C2C"/>
          <w:sz w:val="24"/>
          <w:szCs w:val="24"/>
          <w:lang w:val="en" w:eastAsia="mk-MK"/>
        </w:rPr>
        <w:t>, AUC</w:t>
      </w:r>
      <w:r w:rsidRPr="000C2184">
        <w:rPr>
          <w:rFonts w:ascii="OpenSansRegular" w:eastAsia="Times New Roman" w:hAnsi="OpenSansRegular" w:cs="Helvetica"/>
          <w:color w:val="2D2C2C"/>
          <w:sz w:val="24"/>
          <w:szCs w:val="24"/>
          <w:vertAlign w:val="subscript"/>
          <w:lang w:val="en" w:eastAsia="mk-MK"/>
        </w:rPr>
        <w:t>0-48h</w:t>
      </w:r>
      <w:r w:rsidRPr="000C2184">
        <w:rPr>
          <w:rFonts w:ascii="OpenSansRegular" w:eastAsia="Times New Roman" w:hAnsi="OpenSansRegular" w:cs="Helvetica"/>
          <w:color w:val="2D2C2C"/>
          <w:sz w:val="24"/>
          <w:szCs w:val="24"/>
          <w:lang w:val="en" w:eastAsia="mk-MK"/>
        </w:rPr>
        <w:t>, AUC</w:t>
      </w:r>
      <w:r w:rsidRPr="000C2184">
        <w:rPr>
          <w:rFonts w:ascii="OpenSansRegular" w:eastAsia="Times New Roman" w:hAnsi="OpenSansRegular" w:cs="Helvetica"/>
          <w:color w:val="2D2C2C"/>
          <w:sz w:val="24"/>
          <w:szCs w:val="24"/>
          <w:vertAlign w:val="subscript"/>
          <w:lang w:val="en" w:eastAsia="mk-MK"/>
        </w:rPr>
        <w:t>0-∞</w:t>
      </w:r>
      <w:r w:rsidRPr="000C2184">
        <w:rPr>
          <w:rFonts w:ascii="OpenSansRegular" w:eastAsia="Times New Roman" w:hAnsi="OpenSansRegular" w:cs="Helvetica"/>
          <w:color w:val="2D2C2C"/>
          <w:sz w:val="24"/>
          <w:szCs w:val="24"/>
          <w:lang w:val="en" w:eastAsia="mk-MK"/>
        </w:rPr>
        <w:t xml:space="preserve">, MRT expo, </w:t>
      </w:r>
      <w:proofErr w:type="spellStart"/>
      <w:proofErr w:type="gramStart"/>
      <w:r w:rsidRPr="000C2184">
        <w:rPr>
          <w:rFonts w:ascii="OpenSansRegular" w:eastAsia="Times New Roman" w:hAnsi="OpenSansRegular" w:cs="Helvetica"/>
          <w:color w:val="2D2C2C"/>
          <w:sz w:val="24"/>
          <w:szCs w:val="24"/>
          <w:lang w:val="en" w:eastAsia="mk-MK"/>
        </w:rPr>
        <w:t>Vd</w:t>
      </w:r>
      <w:proofErr w:type="spellEnd"/>
      <w:proofErr w:type="gramEnd"/>
      <w:r w:rsidRPr="000C2184">
        <w:rPr>
          <w:rFonts w:ascii="OpenSansRegular" w:eastAsia="Times New Roman" w:hAnsi="OpenSansRegular" w:cs="Helvetica"/>
          <w:color w:val="2D2C2C"/>
          <w:sz w:val="24"/>
          <w:szCs w:val="24"/>
          <w:lang w:val="en" w:eastAsia="mk-MK"/>
        </w:rPr>
        <w:t xml:space="preserve"> and CL between the carriers of different c.388A &gt; </w:t>
      </w:r>
      <w:r w:rsidRPr="000C2184">
        <w:rPr>
          <w:rFonts w:ascii="OpenSansRegular" w:eastAsia="Times New Roman" w:hAnsi="OpenSansRegular" w:cs="Helvetica"/>
          <w:color w:val="2D2C2C"/>
          <w:sz w:val="24"/>
          <w:szCs w:val="24"/>
          <w:lang w:val="en" w:eastAsia="mk-MK"/>
        </w:rPr>
        <w:lastRenderedPageBreak/>
        <w:t xml:space="preserve">G, c.597C &gt; T and c.*439T &gt; G genotypes were observed. Subject with a variant allele C in the c.521T &gt; C SNP, c.521CC genotype, had markedly higher values for </w:t>
      </w:r>
      <w:proofErr w:type="spellStart"/>
      <w:r w:rsidRPr="000C2184">
        <w:rPr>
          <w:rFonts w:ascii="OpenSansRegular" w:eastAsia="Times New Roman" w:hAnsi="OpenSansRegular" w:cs="Helvetica"/>
          <w:color w:val="2D2C2C"/>
          <w:sz w:val="24"/>
          <w:szCs w:val="24"/>
          <w:lang w:val="en" w:eastAsia="mk-MK"/>
        </w:rPr>
        <w:t>C</w:t>
      </w:r>
      <w:r w:rsidRPr="000C2184">
        <w:rPr>
          <w:rFonts w:ascii="OpenSansRegular" w:eastAsia="Times New Roman" w:hAnsi="OpenSansRegular" w:cs="Helvetica"/>
          <w:color w:val="2D2C2C"/>
          <w:sz w:val="24"/>
          <w:szCs w:val="24"/>
          <w:vertAlign w:val="subscript"/>
          <w:lang w:val="en" w:eastAsia="mk-MK"/>
        </w:rPr>
        <w:t>max</w:t>
      </w:r>
      <w:proofErr w:type="spellEnd"/>
      <w:r w:rsidRPr="000C2184">
        <w:rPr>
          <w:rFonts w:ascii="OpenSansRegular" w:eastAsia="Times New Roman" w:hAnsi="OpenSansRegular" w:cs="Helvetica"/>
          <w:color w:val="2D2C2C"/>
          <w:sz w:val="24"/>
          <w:szCs w:val="24"/>
          <w:lang w:val="en" w:eastAsia="mk-MK"/>
        </w:rPr>
        <w:t xml:space="preserve"> and AUC</w:t>
      </w:r>
      <w:r w:rsidRPr="000C2184">
        <w:rPr>
          <w:rFonts w:ascii="OpenSansRegular" w:eastAsia="Times New Roman" w:hAnsi="OpenSansRegular" w:cs="Helvetica"/>
          <w:color w:val="2D2C2C"/>
          <w:sz w:val="24"/>
          <w:szCs w:val="24"/>
          <w:vertAlign w:val="subscript"/>
          <w:lang w:val="en" w:eastAsia="mk-MK"/>
        </w:rPr>
        <w:t>0-48h</w:t>
      </w:r>
      <w:r w:rsidRPr="000C2184">
        <w:rPr>
          <w:rFonts w:ascii="OpenSansRegular" w:eastAsia="Times New Roman" w:hAnsi="OpenSansRegular" w:cs="Helvetica"/>
          <w:color w:val="2D2C2C"/>
          <w:sz w:val="24"/>
          <w:szCs w:val="24"/>
          <w:lang w:val="en" w:eastAsia="mk-MK"/>
        </w:rPr>
        <w:t xml:space="preserve">, 140% and 67%, respectively, in comparison with the carriers of the c.521TT genotype. Also, the carriers of the variant allele </w:t>
      </w:r>
      <w:proofErr w:type="spellStart"/>
      <w:r w:rsidRPr="000C2184">
        <w:rPr>
          <w:rFonts w:ascii="OpenSansRegular" w:eastAsia="Times New Roman" w:hAnsi="OpenSansRegular" w:cs="Helvetica"/>
          <w:color w:val="2D2C2C"/>
          <w:sz w:val="24"/>
          <w:szCs w:val="24"/>
          <w:lang w:val="en" w:eastAsia="mk-MK"/>
        </w:rPr>
        <w:t>C at</w:t>
      </w:r>
      <w:proofErr w:type="spellEnd"/>
      <w:r w:rsidRPr="000C2184">
        <w:rPr>
          <w:rFonts w:ascii="OpenSansRegular" w:eastAsia="Times New Roman" w:hAnsi="OpenSansRegular" w:cs="Helvetica"/>
          <w:color w:val="2D2C2C"/>
          <w:sz w:val="24"/>
          <w:szCs w:val="24"/>
          <w:lang w:val="en" w:eastAsia="mk-MK"/>
        </w:rPr>
        <w:t xml:space="preserve"> c.571T &gt; C SNP, c.571 CC genotype, had 55% and 43% lower mean </w:t>
      </w:r>
      <w:proofErr w:type="spellStart"/>
      <w:r w:rsidRPr="000C2184">
        <w:rPr>
          <w:rFonts w:ascii="OpenSansRegular" w:eastAsia="Times New Roman" w:hAnsi="OpenSansRegular" w:cs="Helvetica"/>
          <w:color w:val="2D2C2C"/>
          <w:sz w:val="24"/>
          <w:szCs w:val="24"/>
          <w:lang w:val="en" w:eastAsia="mk-MK"/>
        </w:rPr>
        <w:t>C</w:t>
      </w:r>
      <w:r w:rsidRPr="000C2184">
        <w:rPr>
          <w:rFonts w:ascii="OpenSansRegular" w:eastAsia="Times New Roman" w:hAnsi="OpenSansRegular" w:cs="Helvetica"/>
          <w:color w:val="2D2C2C"/>
          <w:sz w:val="24"/>
          <w:szCs w:val="24"/>
          <w:vertAlign w:val="subscript"/>
          <w:lang w:val="en" w:eastAsia="mk-MK"/>
        </w:rPr>
        <w:t>max</w:t>
      </w:r>
      <w:proofErr w:type="spellEnd"/>
      <w:r w:rsidRPr="000C2184">
        <w:rPr>
          <w:rFonts w:ascii="OpenSansRegular" w:eastAsia="Times New Roman" w:hAnsi="OpenSansRegular" w:cs="Helvetica"/>
          <w:color w:val="2D2C2C"/>
          <w:sz w:val="24"/>
          <w:szCs w:val="24"/>
          <w:lang w:val="en" w:eastAsia="mk-MK"/>
        </w:rPr>
        <w:t xml:space="preserve"> and AUC</w:t>
      </w:r>
      <w:r w:rsidRPr="000C2184">
        <w:rPr>
          <w:rFonts w:ascii="OpenSansRegular" w:eastAsia="Times New Roman" w:hAnsi="OpenSansRegular" w:cs="Helvetica"/>
          <w:color w:val="2D2C2C"/>
          <w:sz w:val="24"/>
          <w:szCs w:val="24"/>
          <w:vertAlign w:val="subscript"/>
          <w:lang w:val="en" w:eastAsia="mk-MK"/>
        </w:rPr>
        <w:t>0-48h</w:t>
      </w:r>
      <w:r w:rsidRPr="000C2184">
        <w:rPr>
          <w:rFonts w:ascii="OpenSansRegular" w:eastAsia="Times New Roman" w:hAnsi="OpenSansRegular" w:cs="Helvetica"/>
          <w:color w:val="2D2C2C"/>
          <w:sz w:val="24"/>
          <w:szCs w:val="24"/>
          <w:lang w:val="en" w:eastAsia="mk-MK"/>
        </w:rPr>
        <w:t xml:space="preserve"> in comparison with the carrier of c.571TT. These differences lacked statistical significance due to the size of the sample. In addition, no significant differences in the pharmacokinetic parameters of atorvastatin between the </w:t>
      </w:r>
      <w:r w:rsidRPr="000C2184">
        <w:rPr>
          <w:rFonts w:ascii="OpenSansRegular" w:eastAsia="Times New Roman" w:hAnsi="OpenSansRegular" w:cs="Helvetica"/>
          <w:i/>
          <w:iCs/>
          <w:color w:val="2D2C2C"/>
          <w:sz w:val="24"/>
          <w:szCs w:val="24"/>
          <w:lang w:val="en" w:eastAsia="mk-MK"/>
        </w:rPr>
        <w:t>*15/*16/*17</w:t>
      </w:r>
      <w:r w:rsidRPr="000C2184">
        <w:rPr>
          <w:rFonts w:ascii="OpenSansRegular" w:eastAsia="Times New Roman" w:hAnsi="OpenSansRegular" w:cs="Helvetica"/>
          <w:color w:val="2D2C2C"/>
          <w:sz w:val="24"/>
          <w:szCs w:val="24"/>
          <w:lang w:val="en" w:eastAsia="mk-MK"/>
        </w:rPr>
        <w:t xml:space="preserve"> heterozygotes and </w:t>
      </w:r>
      <w:r w:rsidRPr="000C2184">
        <w:rPr>
          <w:rFonts w:ascii="OpenSansRegular" w:eastAsia="Times New Roman" w:hAnsi="OpenSansRegular" w:cs="Helvetica"/>
          <w:i/>
          <w:iCs/>
          <w:color w:val="2D2C2C"/>
          <w:sz w:val="24"/>
          <w:szCs w:val="24"/>
          <w:lang w:val="en" w:eastAsia="mk-MK"/>
        </w:rPr>
        <w:t>*15/*16/*17</w:t>
      </w:r>
      <w:r w:rsidRPr="000C2184">
        <w:rPr>
          <w:rFonts w:ascii="OpenSansRegular" w:eastAsia="Times New Roman" w:hAnsi="OpenSansRegular" w:cs="Helvetica"/>
          <w:color w:val="2D2C2C"/>
          <w:sz w:val="24"/>
          <w:szCs w:val="24"/>
          <w:lang w:val="en" w:eastAsia="mk-MK"/>
        </w:rPr>
        <w:t xml:space="preserve"> non-carriers were observed. In conclusion, this extensive analysis of the effect of </w:t>
      </w:r>
      <w:r w:rsidRPr="000C2184">
        <w:rPr>
          <w:rFonts w:ascii="OpenSansRegular" w:eastAsia="Times New Roman" w:hAnsi="OpenSansRegular" w:cs="Helvetica"/>
          <w:i/>
          <w:iCs/>
          <w:color w:val="2D2C2C"/>
          <w:sz w:val="24"/>
          <w:szCs w:val="24"/>
          <w:lang w:val="en" w:eastAsia="mk-MK"/>
        </w:rPr>
        <w:t>SLCO1B1</w:t>
      </w:r>
      <w:r w:rsidRPr="000C2184">
        <w:rPr>
          <w:rFonts w:ascii="OpenSansRegular" w:eastAsia="Times New Roman" w:hAnsi="OpenSansRegular" w:cs="Helvetica"/>
          <w:color w:val="2D2C2C"/>
          <w:sz w:val="24"/>
          <w:szCs w:val="24"/>
          <w:lang w:val="en" w:eastAsia="mk-MK"/>
        </w:rPr>
        <w:t xml:space="preserve"> polymorphisms on the pharmacokinetic profile of atorvastatin showed that c.521T &gt; C and c.571T &gt; C SNPs may affect the inter-individual response to atorvastatin. Additional studies, with a large sample size, are needed to confirm this finding. </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b/>
          <w:bCs/>
          <w:color w:val="2D2C2C"/>
          <w:sz w:val="24"/>
          <w:szCs w:val="24"/>
          <w:lang w:val="en" w:eastAsia="mk-MK"/>
        </w:rPr>
        <w:t>Document Type:</w:t>
      </w:r>
      <w:r w:rsidRPr="000C2184">
        <w:rPr>
          <w:rFonts w:ascii="OpenSansRegular" w:eastAsia="Times New Roman" w:hAnsi="OpenSansRegular" w:cs="Helvetica"/>
          <w:color w:val="2D2C2C"/>
          <w:sz w:val="24"/>
          <w:szCs w:val="24"/>
          <w:lang w:val="en" w:eastAsia="mk-MK"/>
        </w:rPr>
        <w:t xml:space="preserve"> Research Article</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b/>
          <w:bCs/>
          <w:color w:val="2D2C2C"/>
          <w:sz w:val="24"/>
          <w:szCs w:val="24"/>
          <w:lang w:val="en" w:eastAsia="mk-MK"/>
        </w:rPr>
        <w:t>DOI:</w:t>
      </w:r>
      <w:r w:rsidRPr="000C2184">
        <w:rPr>
          <w:rFonts w:ascii="OpenSansRegular" w:eastAsia="Times New Roman" w:hAnsi="OpenSansRegular" w:cs="Helvetica"/>
          <w:color w:val="2D2C2C"/>
          <w:sz w:val="24"/>
          <w:szCs w:val="24"/>
          <w:lang w:val="en" w:eastAsia="mk-MK"/>
        </w:rPr>
        <w:t xml:space="preserve"> </w:t>
      </w:r>
      <w:hyperlink r:id="rId24" w:history="1">
        <w:r w:rsidRPr="000C2184">
          <w:rPr>
            <w:rFonts w:ascii="OpenSansRegular" w:eastAsia="Times New Roman" w:hAnsi="OpenSansRegular" w:cs="Helvetica"/>
            <w:color w:val="2389DD"/>
            <w:sz w:val="24"/>
            <w:szCs w:val="24"/>
            <w:lang w:val="en" w:eastAsia="mk-MK"/>
          </w:rPr>
          <w:t>http://dx.doi.org/10.1691/ph.2015.4899</w:t>
        </w:r>
      </w:hyperlink>
      <w:bookmarkStart w:id="2" w:name="_GoBack"/>
      <w:bookmarkEnd w:id="2"/>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r w:rsidRPr="000C2184">
        <w:rPr>
          <w:rFonts w:ascii="OpenSansRegular" w:eastAsia="Times New Roman" w:hAnsi="OpenSansRegular" w:cs="Helvetica"/>
          <w:color w:val="2D2C2C"/>
          <w:sz w:val="24"/>
          <w:szCs w:val="24"/>
          <w:lang w:val="en" w:eastAsia="mk-MK"/>
        </w:rPr>
        <w:t xml:space="preserve">Publication date: 1, </w:t>
      </w:r>
      <w:proofErr w:type="spellStart"/>
      <w:r w:rsidRPr="000C2184">
        <w:rPr>
          <w:rFonts w:ascii="OpenSansRegular" w:eastAsia="Times New Roman" w:hAnsi="OpenSansRegular" w:cs="Helvetica"/>
          <w:color w:val="2D2C2C"/>
          <w:sz w:val="24"/>
          <w:szCs w:val="24"/>
          <w:lang w:val="en" w:eastAsia="mk-MK"/>
        </w:rPr>
        <w:t>јули</w:t>
      </w:r>
      <w:proofErr w:type="spellEnd"/>
      <w:r w:rsidRPr="000C2184">
        <w:rPr>
          <w:rFonts w:ascii="OpenSansRegular" w:eastAsia="Times New Roman" w:hAnsi="OpenSansRegular" w:cs="Helvetica"/>
          <w:color w:val="2D2C2C"/>
          <w:sz w:val="24"/>
          <w:szCs w:val="24"/>
          <w:lang w:val="en" w:eastAsia="mk-MK"/>
        </w:rPr>
        <w:t xml:space="preserve"> 2015</w:t>
      </w:r>
    </w:p>
    <w:p w:rsidR="000C2184" w:rsidRPr="000C2184" w:rsidRDefault="000C2184" w:rsidP="000C2184">
      <w:pPr>
        <w:spacing w:after="150" w:line="240" w:lineRule="auto"/>
        <w:rPr>
          <w:rFonts w:ascii="OpenSansRegular" w:eastAsia="Times New Roman" w:hAnsi="OpenSansRegular" w:cs="Helvetica"/>
          <w:color w:val="2D2C2C"/>
          <w:sz w:val="24"/>
          <w:szCs w:val="24"/>
          <w:lang w:val="en" w:eastAsia="mk-MK"/>
        </w:rPr>
      </w:pPr>
      <w:hyperlink r:id="rId25" w:anchor="expand/collapse" w:tooltip="Expand/Collapse" w:history="1">
        <w:r w:rsidRPr="000C2184">
          <w:rPr>
            <w:rFonts w:ascii="OpenSansRegular" w:eastAsia="Times New Roman" w:hAnsi="OpenSansRegular" w:cs="Helvetica"/>
            <w:color w:val="2389DD"/>
            <w:sz w:val="24"/>
            <w:szCs w:val="24"/>
            <w:lang w:val="en" w:eastAsia="mk-MK"/>
          </w:rPr>
          <w:t>More about this publication?</w:t>
        </w:r>
      </w:hyperlink>
      <w:r w:rsidRPr="000C2184">
        <w:rPr>
          <w:rFonts w:ascii="OpenSansRegular" w:eastAsia="Times New Roman" w:hAnsi="OpenSansRegular" w:cs="Helvetica"/>
          <w:color w:val="2D2C2C"/>
          <w:sz w:val="24"/>
          <w:szCs w:val="24"/>
          <w:lang w:val="en" w:eastAsia="mk-MK"/>
        </w:rPr>
        <w:t xml:space="preserve"> </w:t>
      </w:r>
    </w:p>
    <w:p w:rsidR="00B2395F" w:rsidRDefault="00B2395F"/>
    <w:sectPr w:rsidR="00B23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Regular">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30BC"/>
    <w:multiLevelType w:val="multilevel"/>
    <w:tmpl w:val="A8D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17AA"/>
    <w:multiLevelType w:val="multilevel"/>
    <w:tmpl w:val="0E24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517BC"/>
    <w:multiLevelType w:val="multilevel"/>
    <w:tmpl w:val="709C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3156C"/>
    <w:multiLevelType w:val="multilevel"/>
    <w:tmpl w:val="1BF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903FA"/>
    <w:multiLevelType w:val="multilevel"/>
    <w:tmpl w:val="5FC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E249D"/>
    <w:multiLevelType w:val="multilevel"/>
    <w:tmpl w:val="B59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54809"/>
    <w:multiLevelType w:val="multilevel"/>
    <w:tmpl w:val="77EAE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A0CFA"/>
    <w:multiLevelType w:val="multilevel"/>
    <w:tmpl w:val="FA6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7060C"/>
    <w:multiLevelType w:val="multilevel"/>
    <w:tmpl w:val="48E8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84"/>
    <w:rsid w:val="000C2184"/>
    <w:rsid w:val="00B2395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C78FE-3530-4F25-826D-EC59B7DC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6972">
      <w:bodyDiv w:val="1"/>
      <w:marLeft w:val="0"/>
      <w:marRight w:val="0"/>
      <w:marTop w:val="0"/>
      <w:marBottom w:val="0"/>
      <w:divBdr>
        <w:top w:val="none" w:sz="0" w:space="0" w:color="auto"/>
        <w:left w:val="none" w:sz="0" w:space="0" w:color="auto"/>
        <w:bottom w:val="none" w:sz="0" w:space="0" w:color="auto"/>
        <w:right w:val="none" w:sz="0" w:space="0" w:color="auto"/>
      </w:divBdr>
      <w:divsChild>
        <w:div w:id="1779334159">
          <w:marLeft w:val="0"/>
          <w:marRight w:val="0"/>
          <w:marTop w:val="0"/>
          <w:marBottom w:val="0"/>
          <w:divBdr>
            <w:top w:val="none" w:sz="0" w:space="0" w:color="auto"/>
            <w:left w:val="none" w:sz="0" w:space="0" w:color="auto"/>
            <w:bottom w:val="none" w:sz="0" w:space="0" w:color="auto"/>
            <w:right w:val="none" w:sz="0" w:space="0" w:color="auto"/>
          </w:divBdr>
          <w:divsChild>
            <w:div w:id="492257342">
              <w:marLeft w:val="0"/>
              <w:marRight w:val="0"/>
              <w:marTop w:val="0"/>
              <w:marBottom w:val="0"/>
              <w:divBdr>
                <w:top w:val="none" w:sz="0" w:space="0" w:color="auto"/>
                <w:left w:val="none" w:sz="0" w:space="0" w:color="auto"/>
                <w:bottom w:val="none" w:sz="0" w:space="0" w:color="auto"/>
                <w:right w:val="none" w:sz="0" w:space="0" w:color="auto"/>
              </w:divBdr>
              <w:divsChild>
                <w:div w:id="1512333099">
                  <w:marLeft w:val="0"/>
                  <w:marRight w:val="0"/>
                  <w:marTop w:val="0"/>
                  <w:marBottom w:val="0"/>
                  <w:divBdr>
                    <w:top w:val="none" w:sz="0" w:space="0" w:color="auto"/>
                    <w:left w:val="none" w:sz="0" w:space="0" w:color="auto"/>
                    <w:bottom w:val="none" w:sz="0" w:space="0" w:color="auto"/>
                    <w:right w:val="none" w:sz="0" w:space="0" w:color="auto"/>
                  </w:divBdr>
                </w:div>
                <w:div w:id="330916469">
                  <w:marLeft w:val="0"/>
                  <w:marRight w:val="0"/>
                  <w:marTop w:val="0"/>
                  <w:marBottom w:val="0"/>
                  <w:divBdr>
                    <w:top w:val="none" w:sz="0" w:space="0" w:color="auto"/>
                    <w:left w:val="none" w:sz="0" w:space="0" w:color="auto"/>
                    <w:bottom w:val="none" w:sz="0" w:space="0" w:color="auto"/>
                    <w:right w:val="none" w:sz="0" w:space="0" w:color="auto"/>
                  </w:divBdr>
                  <w:divsChild>
                    <w:div w:id="1648317264">
                      <w:marLeft w:val="0"/>
                      <w:marRight w:val="0"/>
                      <w:marTop w:val="0"/>
                      <w:marBottom w:val="225"/>
                      <w:divBdr>
                        <w:top w:val="none" w:sz="0" w:space="0" w:color="auto"/>
                        <w:left w:val="none" w:sz="0" w:space="0" w:color="auto"/>
                        <w:bottom w:val="none" w:sz="0" w:space="0" w:color="auto"/>
                        <w:right w:val="none" w:sz="0" w:space="0" w:color="auto"/>
                      </w:divBdr>
                    </w:div>
                    <w:div w:id="1335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5055">
              <w:marLeft w:val="0"/>
              <w:marRight w:val="0"/>
              <w:marTop w:val="0"/>
              <w:marBottom w:val="0"/>
              <w:divBdr>
                <w:top w:val="none" w:sz="0" w:space="0" w:color="auto"/>
                <w:left w:val="none" w:sz="0" w:space="0" w:color="auto"/>
                <w:bottom w:val="none" w:sz="0" w:space="0" w:color="auto"/>
                <w:right w:val="none" w:sz="0" w:space="0" w:color="auto"/>
              </w:divBdr>
              <w:divsChild>
                <w:div w:id="1486823859">
                  <w:marLeft w:val="-225"/>
                  <w:marRight w:val="0"/>
                  <w:marTop w:val="0"/>
                  <w:marBottom w:val="0"/>
                  <w:divBdr>
                    <w:top w:val="none" w:sz="0" w:space="0" w:color="auto"/>
                    <w:left w:val="none" w:sz="0" w:space="0" w:color="auto"/>
                    <w:bottom w:val="none" w:sz="0" w:space="0" w:color="auto"/>
                    <w:right w:val="none" w:sz="0" w:space="0" w:color="auto"/>
                  </w:divBdr>
                  <w:divsChild>
                    <w:div w:id="487093478">
                      <w:marLeft w:val="0"/>
                      <w:marRight w:val="0"/>
                      <w:marTop w:val="0"/>
                      <w:marBottom w:val="0"/>
                      <w:divBdr>
                        <w:top w:val="none" w:sz="0" w:space="0" w:color="auto"/>
                        <w:left w:val="none" w:sz="0" w:space="0" w:color="auto"/>
                        <w:bottom w:val="none" w:sz="0" w:space="0" w:color="auto"/>
                        <w:right w:val="none" w:sz="0" w:space="0" w:color="auto"/>
                      </w:divBdr>
                      <w:divsChild>
                        <w:div w:id="747074784">
                          <w:marLeft w:val="0"/>
                          <w:marRight w:val="0"/>
                          <w:marTop w:val="0"/>
                          <w:marBottom w:val="0"/>
                          <w:divBdr>
                            <w:top w:val="none" w:sz="0" w:space="0" w:color="auto"/>
                            <w:left w:val="none" w:sz="0" w:space="0" w:color="auto"/>
                            <w:bottom w:val="none" w:sz="0" w:space="0" w:color="auto"/>
                            <w:right w:val="none" w:sz="0" w:space="0" w:color="auto"/>
                          </w:divBdr>
                        </w:div>
                      </w:divsChild>
                    </w:div>
                    <w:div w:id="577708750">
                      <w:marLeft w:val="0"/>
                      <w:marRight w:val="0"/>
                      <w:marTop w:val="270"/>
                      <w:marBottom w:val="0"/>
                      <w:divBdr>
                        <w:top w:val="none" w:sz="0" w:space="0" w:color="auto"/>
                        <w:left w:val="none" w:sz="0" w:space="0" w:color="auto"/>
                        <w:bottom w:val="none" w:sz="0" w:space="0" w:color="auto"/>
                        <w:right w:val="none" w:sz="0" w:space="0" w:color="auto"/>
                      </w:divBdr>
                      <w:divsChild>
                        <w:div w:id="1311598816">
                          <w:marLeft w:val="0"/>
                          <w:marRight w:val="0"/>
                          <w:marTop w:val="0"/>
                          <w:marBottom w:val="0"/>
                          <w:divBdr>
                            <w:top w:val="none" w:sz="0" w:space="0" w:color="auto"/>
                            <w:left w:val="none" w:sz="0" w:space="0" w:color="auto"/>
                            <w:bottom w:val="none" w:sz="0" w:space="0" w:color="auto"/>
                            <w:right w:val="none" w:sz="0" w:space="0" w:color="auto"/>
                          </w:divBdr>
                        </w:div>
                        <w:div w:id="2095055552">
                          <w:marLeft w:val="0"/>
                          <w:marRight w:val="0"/>
                          <w:marTop w:val="0"/>
                          <w:marBottom w:val="0"/>
                          <w:divBdr>
                            <w:top w:val="none" w:sz="0" w:space="0" w:color="auto"/>
                            <w:left w:val="none" w:sz="0" w:space="0" w:color="auto"/>
                            <w:bottom w:val="none" w:sz="0" w:space="0" w:color="auto"/>
                            <w:right w:val="none" w:sz="0" w:space="0" w:color="auto"/>
                          </w:divBdr>
                        </w:div>
                        <w:div w:id="170414736">
                          <w:marLeft w:val="0"/>
                          <w:marRight w:val="0"/>
                          <w:marTop w:val="0"/>
                          <w:marBottom w:val="0"/>
                          <w:divBdr>
                            <w:top w:val="none" w:sz="0" w:space="0" w:color="auto"/>
                            <w:left w:val="none" w:sz="0" w:space="0" w:color="auto"/>
                            <w:bottom w:val="none" w:sz="0" w:space="0" w:color="auto"/>
                            <w:right w:val="none" w:sz="0" w:space="0" w:color="auto"/>
                          </w:divBdr>
                        </w:div>
                        <w:div w:id="78521274">
                          <w:marLeft w:val="0"/>
                          <w:marRight w:val="0"/>
                          <w:marTop w:val="0"/>
                          <w:marBottom w:val="0"/>
                          <w:divBdr>
                            <w:top w:val="none" w:sz="0" w:space="0" w:color="auto"/>
                            <w:left w:val="none" w:sz="0" w:space="0" w:color="auto"/>
                            <w:bottom w:val="none" w:sz="0" w:space="0" w:color="auto"/>
                            <w:right w:val="none" w:sz="0" w:space="0" w:color="auto"/>
                          </w:divBdr>
                        </w:div>
                      </w:divsChild>
                    </w:div>
                    <w:div w:id="666322951">
                      <w:marLeft w:val="0"/>
                      <w:marRight w:val="0"/>
                      <w:marTop w:val="0"/>
                      <w:marBottom w:val="135"/>
                      <w:divBdr>
                        <w:top w:val="none" w:sz="0" w:space="0" w:color="auto"/>
                        <w:left w:val="none" w:sz="0" w:space="0" w:color="auto"/>
                        <w:bottom w:val="none" w:sz="0" w:space="0" w:color="auto"/>
                        <w:right w:val="none" w:sz="0" w:space="0" w:color="auto"/>
                      </w:divBdr>
                    </w:div>
                    <w:div w:id="580413910">
                      <w:marLeft w:val="0"/>
                      <w:marRight w:val="0"/>
                      <w:marTop w:val="0"/>
                      <w:marBottom w:val="0"/>
                      <w:divBdr>
                        <w:top w:val="none" w:sz="0" w:space="0" w:color="auto"/>
                        <w:left w:val="none" w:sz="0" w:space="0" w:color="auto"/>
                        <w:bottom w:val="none" w:sz="0" w:space="0" w:color="auto"/>
                        <w:right w:val="none" w:sz="0" w:space="0" w:color="auto"/>
                      </w:divBdr>
                      <w:divsChild>
                        <w:div w:id="1778863154">
                          <w:marLeft w:val="0"/>
                          <w:marRight w:val="0"/>
                          <w:marTop w:val="225"/>
                          <w:marBottom w:val="0"/>
                          <w:divBdr>
                            <w:top w:val="none" w:sz="0" w:space="0" w:color="auto"/>
                            <w:left w:val="none" w:sz="0" w:space="0" w:color="auto"/>
                            <w:bottom w:val="none" w:sz="0" w:space="0" w:color="auto"/>
                            <w:right w:val="none" w:sz="0" w:space="0" w:color="auto"/>
                          </w:divBdr>
                          <w:divsChild>
                            <w:div w:id="708528259">
                              <w:marLeft w:val="0"/>
                              <w:marRight w:val="150"/>
                              <w:marTop w:val="0"/>
                              <w:marBottom w:val="225"/>
                              <w:divBdr>
                                <w:top w:val="none" w:sz="0" w:space="0" w:color="auto"/>
                                <w:left w:val="none" w:sz="0" w:space="0" w:color="auto"/>
                                <w:bottom w:val="none" w:sz="0" w:space="0" w:color="auto"/>
                                <w:right w:val="none" w:sz="0" w:space="0" w:color="auto"/>
                              </w:divBdr>
                            </w:div>
                            <w:div w:id="1846045386">
                              <w:marLeft w:val="0"/>
                              <w:marRight w:val="0"/>
                              <w:marTop w:val="0"/>
                              <w:marBottom w:val="0"/>
                              <w:divBdr>
                                <w:top w:val="none" w:sz="0" w:space="0" w:color="auto"/>
                                <w:left w:val="none" w:sz="0" w:space="0" w:color="auto"/>
                                <w:bottom w:val="none" w:sz="0" w:space="0" w:color="auto"/>
                                <w:right w:val="none" w:sz="0" w:space="0" w:color="auto"/>
                              </w:divBdr>
                            </w:div>
                          </w:divsChild>
                        </w:div>
                        <w:div w:id="2044749247">
                          <w:marLeft w:val="0"/>
                          <w:marRight w:val="0"/>
                          <w:marTop w:val="0"/>
                          <w:marBottom w:val="0"/>
                          <w:divBdr>
                            <w:top w:val="none" w:sz="0" w:space="0" w:color="auto"/>
                            <w:left w:val="none" w:sz="0" w:space="0" w:color="auto"/>
                            <w:bottom w:val="none" w:sz="0" w:space="0" w:color="auto"/>
                            <w:right w:val="none" w:sz="0" w:space="0" w:color="auto"/>
                          </w:divBdr>
                          <w:divsChild>
                            <w:div w:id="440413971">
                              <w:marLeft w:val="0"/>
                              <w:marRight w:val="0"/>
                              <w:marTop w:val="0"/>
                              <w:marBottom w:val="0"/>
                              <w:divBdr>
                                <w:top w:val="none" w:sz="0" w:space="0" w:color="auto"/>
                                <w:left w:val="none" w:sz="0" w:space="0" w:color="auto"/>
                                <w:bottom w:val="none" w:sz="0" w:space="0" w:color="auto"/>
                                <w:right w:val="none" w:sz="0" w:space="0" w:color="auto"/>
                              </w:divBdr>
                              <w:divsChild>
                                <w:div w:id="874461501">
                                  <w:marLeft w:val="0"/>
                                  <w:marRight w:val="0"/>
                                  <w:marTop w:val="0"/>
                                  <w:marBottom w:val="0"/>
                                  <w:divBdr>
                                    <w:top w:val="none" w:sz="0" w:space="0" w:color="auto"/>
                                    <w:left w:val="none" w:sz="0" w:space="0" w:color="auto"/>
                                    <w:bottom w:val="none" w:sz="0" w:space="0" w:color="auto"/>
                                    <w:right w:val="none" w:sz="0" w:space="0" w:color="auto"/>
                                  </w:divBdr>
                                </w:div>
                                <w:div w:id="114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4744">
                          <w:marLeft w:val="0"/>
                          <w:marRight w:val="0"/>
                          <w:marTop w:val="150"/>
                          <w:marBottom w:val="0"/>
                          <w:divBdr>
                            <w:top w:val="single" w:sz="6" w:space="12" w:color="DEDEDE"/>
                            <w:left w:val="none" w:sz="0" w:space="0" w:color="auto"/>
                            <w:bottom w:val="none" w:sz="0" w:space="0" w:color="auto"/>
                            <w:right w:val="none" w:sz="0" w:space="0" w:color="auto"/>
                          </w:divBdr>
                          <w:divsChild>
                            <w:div w:id="1912734479">
                              <w:marLeft w:val="0"/>
                              <w:marRight w:val="0"/>
                              <w:marTop w:val="420"/>
                              <w:marBottom w:val="0"/>
                              <w:divBdr>
                                <w:top w:val="none" w:sz="0" w:space="0" w:color="auto"/>
                                <w:left w:val="none" w:sz="0" w:space="0" w:color="auto"/>
                                <w:bottom w:val="none" w:sz="0" w:space="0" w:color="auto"/>
                                <w:right w:val="none" w:sz="0" w:space="0" w:color="auto"/>
                              </w:divBdr>
                            </w:div>
                          </w:divsChild>
                        </w:div>
                        <w:div w:id="1331758622">
                          <w:marLeft w:val="0"/>
                          <w:marRight w:val="0"/>
                          <w:marTop w:val="150"/>
                          <w:marBottom w:val="0"/>
                          <w:divBdr>
                            <w:top w:val="single" w:sz="6" w:space="3" w:color="DEDEDE"/>
                            <w:left w:val="none" w:sz="0" w:space="0" w:color="auto"/>
                            <w:bottom w:val="single" w:sz="6" w:space="7" w:color="DEDEDE"/>
                            <w:right w:val="none" w:sz="0" w:space="0" w:color="auto"/>
                          </w:divBdr>
                        </w:div>
                        <w:div w:id="958881472">
                          <w:marLeft w:val="0"/>
                          <w:marRight w:val="0"/>
                          <w:marTop w:val="150"/>
                          <w:marBottom w:val="0"/>
                          <w:divBdr>
                            <w:top w:val="single" w:sz="6" w:space="12" w:color="DEDEDE"/>
                            <w:left w:val="none" w:sz="0" w:space="0" w:color="auto"/>
                            <w:bottom w:val="none" w:sz="0" w:space="0" w:color="auto"/>
                            <w:right w:val="none" w:sz="0" w:space="0" w:color="auto"/>
                          </w:divBdr>
                        </w:div>
                        <w:div w:id="1083332678">
                          <w:marLeft w:val="0"/>
                          <w:marRight w:val="150"/>
                          <w:marTop w:val="150"/>
                          <w:marBottom w:val="150"/>
                          <w:divBdr>
                            <w:top w:val="none" w:sz="0" w:space="0" w:color="auto"/>
                            <w:left w:val="none" w:sz="0" w:space="0" w:color="auto"/>
                            <w:bottom w:val="none" w:sz="0" w:space="0" w:color="auto"/>
                            <w:right w:val="none" w:sz="0" w:space="0" w:color="auto"/>
                          </w:divBdr>
                        </w:div>
                        <w:div w:id="1547371034">
                          <w:marLeft w:val="0"/>
                          <w:marRight w:val="150"/>
                          <w:marTop w:val="150"/>
                          <w:marBottom w:val="150"/>
                          <w:divBdr>
                            <w:top w:val="none" w:sz="0" w:space="0" w:color="auto"/>
                            <w:left w:val="none" w:sz="0" w:space="0" w:color="auto"/>
                            <w:bottom w:val="none" w:sz="0" w:space="0" w:color="auto"/>
                            <w:right w:val="none" w:sz="0" w:space="0" w:color="auto"/>
                          </w:divBdr>
                          <w:divsChild>
                            <w:div w:id="4742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hyperlink" Target="http://www.ingentaconnect.com/content/govi/pharmaz/2015/00000070/00000007/art000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yperlink" Target="http://www.ingentaconnect.com/content/govi/pharmaz/2015/00000070/00000007/art00008" TargetMode="External"/><Relationship Id="rId25" Type="http://schemas.openxmlformats.org/officeDocument/2006/relationships/hyperlink" Target="http://www.ingentaconnect.com/content/govi/pharmaz/2015/00000070/00000007/art00008" TargetMode="External"/><Relationship Id="rId2" Type="http://schemas.openxmlformats.org/officeDocument/2006/relationships/styles" Target="styles.xml"/><Relationship Id="rId16" Type="http://schemas.openxmlformats.org/officeDocument/2006/relationships/hyperlink" Target="http://www.ingentaconnect.com/content/govi/pharmaz/2015/00000070/00000007/art00008" TargetMode="External"/><Relationship Id="rId20" Type="http://schemas.openxmlformats.org/officeDocument/2006/relationships/hyperlink" Target="http://www.ingentaconnect.com/content/govi/pharmaz;jsessionid=1r0if0rtios53.alic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wmf"/><Relationship Id="rId24" Type="http://schemas.openxmlformats.org/officeDocument/2006/relationships/hyperlink" Target="http://dx.doi.org/10.1691/ph.2015.4899" TargetMode="External"/><Relationship Id="rId5" Type="http://schemas.openxmlformats.org/officeDocument/2006/relationships/hyperlink" Target="http://www.publishingtechnology.com/" TargetMode="External"/><Relationship Id="rId15" Type="http://schemas.openxmlformats.org/officeDocument/2006/relationships/hyperlink" Target="http://www.ingentaconnect.com/content/govi/pharmaz/2015/00000070/00000007/art00008" TargetMode="External"/><Relationship Id="rId23" Type="http://schemas.openxmlformats.org/officeDocument/2006/relationships/hyperlink" Target="http://www.ingentaconnect.com/content/govi;jsessionid=1r0if0rtios53.alice" TargetMode="External"/><Relationship Id="rId10" Type="http://schemas.openxmlformats.org/officeDocument/2006/relationships/control" Target="activeX/activeX2.xml"/><Relationship Id="rId19" Type="http://schemas.openxmlformats.org/officeDocument/2006/relationships/hyperlink" Target="http://www.ingentaconnect.com/search/advanced;jsessionid=1r0if0rtios53.alice"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hyperlink" Target="http://www.ingentaconnect.com/content/govi/pharmaz;jsessionid=1r0if0rtios53.alic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vavlukis</dc:creator>
  <cp:keywords/>
  <dc:description/>
  <cp:lastModifiedBy>marija vavlukis</cp:lastModifiedBy>
  <cp:revision>1</cp:revision>
  <dcterms:created xsi:type="dcterms:W3CDTF">2015-08-29T08:19:00Z</dcterms:created>
  <dcterms:modified xsi:type="dcterms:W3CDTF">2015-08-29T08:27:00Z</dcterms:modified>
</cp:coreProperties>
</file>